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0" w:line="360" w:lineRule="auto"/>
        <w:ind w:left="3518" w:leftChars="304" w:hanging="2880" w:hangingChars="900"/>
        <w:jc w:val="center"/>
        <w:rPr>
          <w:rFonts w:hint="eastAsia" w:ascii="宋体" w:hAnsi="宋体" w:eastAsia="宋体" w:cs="宋体"/>
          <w:b w:val="0"/>
          <w:bCs w:val="0"/>
          <w:color w:val="000000"/>
          <w:sz w:val="32"/>
          <w:szCs w:val="32"/>
          <w:lang w:val="en-US" w:eastAsia="zh-CN"/>
        </w:rPr>
      </w:pPr>
      <w:r>
        <w:rPr>
          <w:rFonts w:hint="eastAsia" w:ascii="宋体" w:hAnsi="宋体" w:eastAsia="宋体" w:cs="宋体"/>
          <w:b w:val="0"/>
          <w:bCs w:val="0"/>
          <w:color w:val="000000"/>
          <w:sz w:val="32"/>
          <w:szCs w:val="32"/>
          <w:lang w:eastAsia="zh-CN"/>
        </w:rPr>
        <w:t>南宁市建设工程造价和招投标行业协会</w:t>
      </w:r>
    </w:p>
    <w:p>
      <w:pPr>
        <w:spacing w:before="240" w:beforeLines="0" w:line="360" w:lineRule="auto"/>
        <w:ind w:left="3529" w:leftChars="304" w:hanging="2891" w:hangingChars="900"/>
        <w:jc w:val="center"/>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全过程工程咨询服务清单和收费参考标准</w:t>
      </w:r>
    </w:p>
    <w:p>
      <w:pPr>
        <w:spacing w:before="240" w:beforeLines="0" w:line="360" w:lineRule="auto"/>
        <w:ind w:firstLine="2880" w:firstLineChars="900"/>
        <w:jc w:val="both"/>
        <w:rPr>
          <w:rFonts w:hint="eastAsia" w:ascii="Times New Roman" w:hAnsi="Times New Roman"/>
          <w:color w:val="000000"/>
          <w:sz w:val="32"/>
          <w:szCs w:val="32"/>
          <w:lang w:eastAsia="zh-CN"/>
        </w:rPr>
      </w:pPr>
      <w:r>
        <w:rPr>
          <w:rFonts w:hint="eastAsia" w:ascii="Times New Roman" w:hAnsi="Times New Roman"/>
          <w:color w:val="000000"/>
          <w:sz w:val="32"/>
          <w:szCs w:val="32"/>
          <w:lang w:eastAsia="zh-CN"/>
        </w:rPr>
        <w:t>（征求意见稿）</w:t>
      </w:r>
      <w:bookmarkStart w:id="0" w:name="_GoBack"/>
      <w:bookmarkEnd w:id="0"/>
    </w:p>
    <w:p>
      <w:pPr>
        <w:spacing w:line="360" w:lineRule="auto"/>
        <w:ind w:firstLine="560" w:firstLineChars="200"/>
        <w:rPr>
          <w:rFonts w:hint="eastAsia" w:ascii="Times New Roman"/>
          <w:color w:val="000000"/>
          <w:sz w:val="28"/>
          <w:szCs w:val="28"/>
          <w:lang w:eastAsia="zh-CN"/>
        </w:rPr>
      </w:pPr>
    </w:p>
    <w:p>
      <w:p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为了促进南宁市建设项目全过程工程咨询发展需要，在房屋建筑和市政基础设施领域推进全过程工程咨询服务，明确工程建设全过程工程咨询的服务范围、内容和特点，提升建设项目各参建单位对全过程工程咨询的认识和理解，解决收费标准问题。南宁市建设工程造价和招投标行业协会组织行业相关专业，工程咨询、监理咨询、造价咨询和招标代理的执业专家，开展全过程工程咨询服务清单和收费参考标准研究工作，编制了《全过程工程咨询服务清单和收费参考标准》。</w:t>
      </w:r>
    </w:p>
    <w:p>
      <w:p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全过程工程咨询服务清单内容，采用技术标准为国家发展改革委、住房城乡建设部推出的《房屋建筑和市政基础设施建设项目全过程工程咨询服务技术标准》（征求意见稿），全过程咨询主要分《投资决策综合性咨询》和《工程建设全过程咨询》两阶段，结合南宁市建设工程实际情况，特出业务指导性和实际可操作性，进行了合理调整。</w:t>
      </w:r>
    </w:p>
    <w:p>
      <w:p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《全过程工程咨询服务清单和收费参考标准》所涉及的咨询服务范围覆盖房屋建筑和市政基础设施领域项目投资决策和建设实施全过程。</w:t>
      </w:r>
    </w:p>
    <w:p>
      <w:p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《投资决策综合性咨询》包含投资决策阶段综合性咨询和管理的内容、程序及成果。包括投资策划咨询、可行性研究、建设条件单项咨询等。</w:t>
      </w:r>
    </w:p>
    <w:p>
      <w:p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《工程建设全过程咨询》包括工程勘察设计咨询、工程招标采购咨询、工程监理咨询、工程监理与项目管理服务和工程专项咨询。</w:t>
      </w:r>
    </w:p>
    <w:p>
      <w:p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专项咨询包括：工程造价咨询（建设实施过程阶段或包含项目投资决策阶段）、项目融资咨询、政府和社会资本合作咨询、信息技术咨询、风险管理咨询、项目后评价咨询、建筑节能与绿色建筑咨询、工程保险咨询。</w:t>
      </w:r>
    </w:p>
    <w:p>
      <w:pPr>
        <w:spacing w:line="360" w:lineRule="auto"/>
        <w:rPr>
          <w:rFonts w:hint="eastAsia" w:ascii="Times New Roman"/>
          <w:color w:val="000000"/>
          <w:sz w:val="28"/>
          <w:szCs w:val="28"/>
          <w:lang w:eastAsia="zh-CN"/>
        </w:rPr>
      </w:pPr>
      <w:r>
        <w:rPr>
          <w:rFonts w:hint="eastAsia" w:ascii="Times New Roman"/>
          <w:color w:val="000000"/>
          <w:sz w:val="28"/>
          <w:szCs w:val="28"/>
          <w:lang w:eastAsia="zh-CN"/>
        </w:rPr>
        <w:drawing>
          <wp:inline distT="0" distB="0" distL="114300" distR="114300">
            <wp:extent cx="5271770" cy="3235960"/>
            <wp:effectExtent l="0" t="0" r="5080" b="2540"/>
            <wp:docPr id="1" name="图片 1" descr="mmexport165603423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656034232461"/>
                    <pic:cNvPicPr>
                      <a:picLocks noChangeAspect="1"/>
                    </pic:cNvPicPr>
                  </pic:nvPicPr>
                  <pic:blipFill>
                    <a:blip r:embed="rId5"/>
                    <a:stretch>
                      <a:fillRect/>
                    </a:stretch>
                  </pic:blipFill>
                  <pic:spPr>
                    <a:xfrm>
                      <a:off x="0" y="0"/>
                      <a:ext cx="5271770" cy="3235960"/>
                    </a:xfrm>
                    <a:prstGeom prst="rect">
                      <a:avLst/>
                    </a:prstGeom>
                  </pic:spPr>
                </pic:pic>
              </a:graphicData>
            </a:graphic>
          </wp:inline>
        </w:drawing>
      </w:r>
    </w:p>
    <w:p>
      <w:pPr>
        <w:spacing w:line="360" w:lineRule="auto"/>
        <w:ind w:firstLine="602" w:firstLineChars="200"/>
        <w:rPr>
          <w:rFonts w:hint="eastAsia" w:ascii="Times New Roman"/>
          <w:b/>
          <w:bCs/>
          <w:color w:val="000000" w:themeColor="text1"/>
          <w:sz w:val="28"/>
          <w:szCs w:val="28"/>
          <w:lang w:eastAsia="zh-CN"/>
          <w14:textFill>
            <w14:solidFill>
              <w14:schemeClr w14:val="tx1"/>
            </w14:solidFill>
          </w14:textFill>
        </w:rPr>
      </w:pPr>
      <w:r>
        <w:rPr>
          <w:rFonts w:hint="eastAsia" w:ascii="Times New Roman"/>
          <w:b/>
          <w:bCs/>
          <w:color w:val="000000"/>
          <w:sz w:val="30"/>
          <w:szCs w:val="30"/>
          <w:lang w:eastAsia="zh-CN"/>
        </w:rPr>
        <w:t>一、</w:t>
      </w:r>
      <w:r>
        <w:rPr>
          <w:rFonts w:hint="eastAsia" w:ascii="Times New Roman"/>
          <w:b/>
          <w:bCs/>
          <w:color w:val="000000" w:themeColor="text1"/>
          <w:sz w:val="30"/>
          <w:szCs w:val="30"/>
          <w:lang w:eastAsia="zh-CN"/>
          <w14:textFill>
            <w14:solidFill>
              <w14:schemeClr w14:val="tx1"/>
            </w14:solidFill>
          </w14:textFill>
        </w:rPr>
        <w:t>投资决策管理、工程勘察管理、工程设计管理、施工管理</w:t>
      </w:r>
    </w:p>
    <w:p>
      <w:pPr>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（一）投资决策阶段管理</w:t>
      </w:r>
    </w:p>
    <w:p>
      <w:pPr>
        <w:spacing w:line="360" w:lineRule="auto"/>
        <w:ind w:firstLine="562" w:firstLineChars="200"/>
        <w:rPr>
          <w:rFonts w:hint="eastAsia" w:ascii="Times New Roman"/>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spacing w:line="360" w:lineRule="auto"/>
        <w:ind w:firstLine="560" w:firstLineChars="200"/>
        <w:rPr>
          <w:rFonts w:hint="eastAsia" w:ascii="Times New Roman"/>
          <w:color w:val="000000" w:themeColor="text1"/>
          <w:sz w:val="28"/>
          <w:szCs w:val="28"/>
          <w:lang w:val="en-US" w:eastAsia="zh-CN"/>
          <w14:textFill>
            <w14:solidFill>
              <w14:schemeClr w14:val="tx1"/>
            </w14:solidFill>
          </w14:textFill>
        </w:rPr>
      </w:pPr>
      <w:r>
        <w:rPr>
          <w:rFonts w:hint="eastAsia" w:ascii="Times New Roman"/>
          <w:color w:val="000000" w:themeColor="text1"/>
          <w:sz w:val="28"/>
          <w:szCs w:val="28"/>
          <w:lang w:val="en-US" w:eastAsia="zh-CN"/>
          <w14:textFill>
            <w14:solidFill>
              <w14:schemeClr w14:val="tx1"/>
            </w14:solidFill>
          </w14:textFill>
        </w:rPr>
        <w:t>①工程咨询方应建立科学的决策程序，进行多项目比较和多方案分析，就投资项目的市场、技术、经济、生态环境、能源、资源、安全等影响可行性的要素，结合国家、地区、行业发展规划及相关重大专项建设规划、产业政策、技术标准及相关审批要求，编制咨询任务书，并应报送投资方批准后方可提供给咨询公司。要求咨询公司分析研究和论证，为投资方提供综合性、一体化、便利化的咨询服务。</w:t>
      </w:r>
    </w:p>
    <w:p>
      <w:pPr>
        <w:spacing w:line="360" w:lineRule="auto"/>
        <w:ind w:firstLine="560" w:firstLineChars="200"/>
        <w:rPr>
          <w:rFonts w:hint="eastAsia" w:ascii="Times New Roman"/>
          <w:color w:val="000000" w:themeColor="text1"/>
          <w:sz w:val="28"/>
          <w:szCs w:val="28"/>
          <w:lang w:val="en-US" w:eastAsia="zh-CN"/>
          <w14:textFill>
            <w14:solidFill>
              <w14:schemeClr w14:val="tx1"/>
            </w14:solidFill>
          </w14:textFill>
        </w:rPr>
      </w:pPr>
      <w:r>
        <w:rPr>
          <w:rFonts w:hint="eastAsia" w:ascii="Times New Roman"/>
          <w:color w:val="000000" w:themeColor="text1"/>
          <w:sz w:val="28"/>
          <w:szCs w:val="28"/>
          <w:lang w:val="en-US" w:eastAsia="zh-CN"/>
          <w14:textFill>
            <w14:solidFill>
              <w14:schemeClr w14:val="tx1"/>
            </w14:solidFill>
          </w14:textFill>
        </w:rPr>
        <w:t>②工程咨询方协助投资方，委托咨询公司开展投资决策综合性咨询，包括投资策划咨询、可行性研究、建设条件单项咨询等活动，以及在此基础上编制形成的，符合建设项目投资决策基本程序要求的申报材料，同时协助投资方按规定完成投资决策阶段各项审批、核准或备案事项。</w:t>
      </w:r>
    </w:p>
    <w:p>
      <w:pPr>
        <w:spacing w:line="360" w:lineRule="auto"/>
        <w:ind w:firstLine="560" w:firstLineChars="200"/>
        <w:rPr>
          <w:rFonts w:hint="eastAsia" w:ascii="Times New Roman"/>
          <w:color w:val="000000" w:themeColor="text1"/>
          <w:sz w:val="28"/>
          <w:szCs w:val="28"/>
          <w:lang w:val="en-US" w:eastAsia="zh-CN"/>
          <w14:textFill>
            <w14:solidFill>
              <w14:schemeClr w14:val="tx1"/>
            </w14:solidFill>
          </w14:textFill>
        </w:rPr>
      </w:pPr>
      <w:r>
        <w:rPr>
          <w:rFonts w:hint="eastAsia" w:ascii="Times New Roman"/>
          <w:color w:val="000000" w:themeColor="text1"/>
          <w:sz w:val="28"/>
          <w:szCs w:val="28"/>
          <w:lang w:val="en-US" w:eastAsia="zh-CN"/>
          <w14:textFill>
            <w14:solidFill>
              <w14:schemeClr w14:val="tx1"/>
            </w14:solidFill>
          </w14:textFill>
        </w:rPr>
        <w:t>③工程咨询方是投资方建设项目投资决策总顾问，应组织实施好各项咨询任务。为投资方对建设项目做准备性调查研究，寻求有价值的投资机会，对项目的有关背景、投资条件、市场状况等进行初步调查研究和分析预测。</w:t>
      </w:r>
    </w:p>
    <w:p>
      <w:pPr>
        <w:numPr>
          <w:ilvl w:val="0"/>
          <w:numId w:val="0"/>
        </w:numPr>
        <w:spacing w:line="360" w:lineRule="auto"/>
        <w:ind w:firstLine="562" w:firstLineChars="200"/>
        <w:rPr>
          <w:rFonts w:hint="eastAsia" w:ascii="Times New Roman"/>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2、收费标准：</w:t>
      </w:r>
      <w:r>
        <w:rPr>
          <w:rFonts w:hint="eastAsia" w:ascii="Times New Roman"/>
          <w:color w:val="000000" w:themeColor="text1"/>
          <w:sz w:val="28"/>
          <w:szCs w:val="28"/>
          <w:lang w:val="en-US" w:eastAsia="zh-CN"/>
          <w14:textFill>
            <w14:solidFill>
              <w14:schemeClr w14:val="tx1"/>
            </w14:solidFill>
          </w14:textFill>
        </w:rPr>
        <w:t>参考《财建[2016]504号》的建设管理费，全部建设管理费中包含：投资决策综合性管理（暂定15~20%）、勘察管理（暂定10~15%）、设计管理（暂定25~30%）、施工项目管理（暂定50~35%）比例分配，总计100%。</w:t>
      </w:r>
    </w:p>
    <w:tbl>
      <w:tblPr>
        <w:tblStyle w:val="5"/>
        <w:tblW w:w="10733" w:type="dxa"/>
        <w:tblInd w:w="-1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850"/>
        <w:gridCol w:w="1333"/>
        <w:gridCol w:w="1600"/>
        <w:gridCol w:w="4762"/>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cs="宋体"/>
                <w:color w:val="000000" w:themeColor="text1"/>
                <w:spacing w:val="0"/>
                <w:w w:val="100"/>
                <w:position w:val="0"/>
                <w:sz w:val="28"/>
                <w:szCs w:val="28"/>
                <w:lang w:eastAsia="zh-CN"/>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工程总</w:t>
            </w:r>
            <w:r>
              <w:rPr>
                <w:rFonts w:hint="eastAsia" w:ascii="宋体" w:hAnsi="宋体" w:cs="宋体"/>
                <w:color w:val="000000" w:themeColor="text1"/>
                <w:spacing w:val="0"/>
                <w:w w:val="100"/>
                <w:position w:val="0"/>
                <w:sz w:val="28"/>
                <w:szCs w:val="28"/>
                <w:lang w:eastAsia="zh-CN"/>
                <w14:textFill>
                  <w14:solidFill>
                    <w14:schemeClr w14:val="tx1"/>
                  </w14:solidFill>
                </w14:textFill>
              </w:rPr>
              <w:t>概算</w:t>
            </w:r>
          </w:p>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pacing w:val="0"/>
                <w:w w:val="100"/>
                <w:position w:val="0"/>
                <w:sz w:val="28"/>
                <w:szCs w:val="28"/>
                <w:lang w:eastAsia="zh-CN"/>
                <w14:textFill>
                  <w14:solidFill>
                    <w14:schemeClr w14:val="tx1"/>
                  </w14:solidFill>
                </w14:textFill>
              </w:rPr>
              <w:t>（万元）</w:t>
            </w:r>
          </w:p>
        </w:tc>
        <w:tc>
          <w:tcPr>
            <w:tcW w:w="1333"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费率（%）</w:t>
            </w:r>
          </w:p>
        </w:tc>
        <w:tc>
          <w:tcPr>
            <w:tcW w:w="6362" w:type="dxa"/>
            <w:gridSpan w:val="2"/>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算例</w:t>
            </w:r>
          </w:p>
        </w:tc>
        <w:tc>
          <w:tcPr>
            <w:tcW w:w="1188"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pacing w:val="0"/>
                <w:w w:val="100"/>
                <w:position w:val="0"/>
                <w:sz w:val="28"/>
                <w:szCs w:val="28"/>
                <w:lang w:eastAsia="zh-CN"/>
                <w14:textFill>
                  <w14:solidFill>
                    <w14:schemeClr w14:val="tx1"/>
                  </w14:solidFill>
                </w14:textFill>
              </w:rPr>
            </w:pPr>
            <w:r>
              <w:rPr>
                <w:rFonts w:hint="eastAsia" w:ascii="宋体" w:hAnsi="宋体" w:cs="宋体"/>
                <w:color w:val="000000" w:themeColor="text1"/>
                <w:spacing w:val="0"/>
                <w:w w:val="100"/>
                <w:position w:val="0"/>
                <w:sz w:val="28"/>
                <w:szCs w:val="28"/>
                <w:lang w:eastAsia="zh-CN"/>
                <w14:textFill>
                  <w14:solidFill>
                    <w14:schemeClr w14:val="tx1"/>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9" w:hRule="exact"/>
        </w:trPr>
        <w:tc>
          <w:tcPr>
            <w:tcW w:w="1850" w:type="dxa"/>
            <w:vMerge w:val="continue"/>
            <w:shd w:val="clear" w:color="auto" w:fill="FFFFFF"/>
            <w:vAlign w:val="center"/>
          </w:tcPr>
          <w:p>
            <w:pPr>
              <w:rPr>
                <w:rFonts w:hint="eastAsia" w:ascii="宋体" w:hAnsi="宋体" w:eastAsia="宋体" w:cs="宋体"/>
                <w:color w:val="000000" w:themeColor="text1"/>
                <w:sz w:val="28"/>
                <w:szCs w:val="28"/>
                <w14:textFill>
                  <w14:solidFill>
                    <w14:schemeClr w14:val="tx1"/>
                  </w14:solidFill>
                </w14:textFill>
              </w:rPr>
            </w:pPr>
          </w:p>
        </w:tc>
        <w:tc>
          <w:tcPr>
            <w:tcW w:w="1333" w:type="dxa"/>
            <w:vMerge w:val="continue"/>
            <w:shd w:val="clear" w:color="auto" w:fill="FFFFFF"/>
            <w:vAlign w:val="center"/>
          </w:tcPr>
          <w:p>
            <w:pPr>
              <w:rPr>
                <w:rFonts w:hint="eastAsia" w:ascii="宋体" w:hAnsi="宋体" w:eastAsia="宋体" w:cs="宋体"/>
                <w:color w:val="000000" w:themeColor="text1"/>
                <w:sz w:val="28"/>
                <w:szCs w:val="28"/>
                <w14:textFill>
                  <w14:solidFill>
                    <w14:schemeClr w14:val="tx1"/>
                  </w14:solidFill>
                </w14:textFill>
              </w:rPr>
            </w:pP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工程总概算</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pacing w:val="0"/>
                <w:w w:val="100"/>
                <w:position w:val="0"/>
                <w:sz w:val="28"/>
                <w:szCs w:val="28"/>
                <w:lang w:eastAsia="zh-CN"/>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8"/>
                <w:szCs w:val="28"/>
                <w14:textFill>
                  <w14:solidFill>
                    <w14:schemeClr w14:val="tx1"/>
                  </w14:solidFill>
                </w14:textFill>
              </w:rPr>
              <w:t>项目建设管理费</w:t>
            </w:r>
            <w:r>
              <w:rPr>
                <w:rFonts w:hint="eastAsia" w:ascii="宋体" w:hAnsi="宋体" w:cs="宋体"/>
                <w:color w:val="000000" w:themeColor="text1"/>
                <w:spacing w:val="0"/>
                <w:w w:val="100"/>
                <w:position w:val="0"/>
                <w:sz w:val="28"/>
                <w:szCs w:val="28"/>
                <w:lang w:eastAsia="zh-CN"/>
                <w14:textFill>
                  <w14:solidFill>
                    <w14:schemeClr w14:val="tx1"/>
                  </w14:solidFill>
                </w14:textFill>
              </w:rPr>
              <w:t>（万元）</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pacing w:val="0"/>
                <w:w w:val="100"/>
                <w:position w:val="0"/>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1"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8"/>
                <w:szCs w:val="28"/>
                <w14:textFill>
                  <w14:solidFill>
                    <w14:schemeClr w14:val="tx1"/>
                  </w14:solidFill>
                </w14:textFill>
              </w:rPr>
              <w:t>000以下</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2</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1000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1</w:t>
            </w:r>
            <w:r>
              <w:rPr>
                <w:rFonts w:hint="eastAsia" w:ascii="宋体" w:hAnsi="宋体" w:eastAsia="宋体" w:cs="宋体"/>
                <w:color w:val="000000" w:themeColor="text1"/>
                <w:spacing w:val="0"/>
                <w:w w:val="100"/>
                <w:position w:val="0"/>
                <w:sz w:val="28"/>
                <w:szCs w:val="28"/>
                <w:lang w:val="en-US" w:eastAsia="zh-CN"/>
                <w14:textFill>
                  <w14:solidFill>
                    <w14:schemeClr w14:val="tx1"/>
                  </w14:solidFill>
                </w14:textFill>
              </w:rPr>
              <w:t>0</w:t>
            </w:r>
            <w:r>
              <w:rPr>
                <w:rFonts w:hint="eastAsia" w:ascii="宋体" w:hAnsi="宋体" w:eastAsia="宋体" w:cs="宋体"/>
                <w:color w:val="000000" w:themeColor="text1"/>
                <w:spacing w:val="0"/>
                <w:w w:val="100"/>
                <w:position w:val="0"/>
                <w:sz w:val="28"/>
                <w:szCs w:val="28"/>
                <w14:textFill>
                  <w14:solidFill>
                    <w14:schemeClr w14:val="tx1"/>
                  </w14:solidFill>
                </w14:textFill>
              </w:rPr>
              <w:t>00</w:t>
            </w:r>
            <w:r>
              <w:rPr>
                <w:rFonts w:hint="eastAsia" w:ascii="宋体" w:hAnsi="宋体" w:eastAsia="宋体" w:cs="宋体"/>
                <w:color w:val="000000" w:themeColor="text1"/>
                <w:spacing w:val="0"/>
                <w:w w:val="100"/>
                <w:position w:val="0"/>
                <w:sz w:val="28"/>
                <w:szCs w:val="28"/>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8"/>
                <w:szCs w:val="28"/>
                <w14:textFill>
                  <w14:solidFill>
                    <w14:schemeClr w14:val="tx1"/>
                  </w14:solidFill>
                </w14:textFill>
              </w:rPr>
              <w:t>2% = 20</w:t>
            </w:r>
          </w:p>
        </w:tc>
        <w:tc>
          <w:tcPr>
            <w:tcW w:w="1188"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pacing w:val="0"/>
                <w:w w:val="100"/>
                <w:position w:val="0"/>
                <w:sz w:val="28"/>
                <w:szCs w:val="28"/>
                <w:lang w:val="en-US" w:eastAsia="zh-CN"/>
                <w14:textFill>
                  <w14:solidFill>
                    <w14:schemeClr w14:val="tx1"/>
                  </w14:solidFill>
                </w14:textFill>
              </w:rPr>
            </w:pPr>
            <w:r>
              <w:rPr>
                <w:rFonts w:hint="eastAsia" w:ascii="Times New Roman" w:cs="Times New Roman"/>
                <w:color w:val="000000" w:themeColor="text1"/>
                <w:sz w:val="28"/>
                <w:szCs w:val="28"/>
                <w:lang w:val="en-US" w:eastAsia="zh-CN"/>
                <w14:textFill>
                  <w14:solidFill>
                    <w14:schemeClr w14:val="tx1"/>
                  </w14:solidFill>
                </w14:textFill>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1"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1001-5000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1.5</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5000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29+(5000-1000)</w:t>
            </w:r>
            <w:r>
              <w:rPr>
                <w:rFonts w:hint="eastAsia" w:ascii="宋体" w:hAnsi="宋体" w:eastAsia="宋体" w:cs="宋体"/>
                <w:color w:val="000000" w:themeColor="text1"/>
                <w:spacing w:val="0"/>
                <w:w w:val="100"/>
                <w:position w:val="0"/>
                <w:sz w:val="28"/>
                <w:szCs w:val="28"/>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 xml:space="preserve">l.5% </w:t>
            </w:r>
            <w:r>
              <w:rPr>
                <w:rFonts w:hint="eastAsia" w:ascii="宋体" w:hAnsi="宋体" w:eastAsia="宋体" w:cs="宋体"/>
                <w:color w:val="000000" w:themeColor="text1"/>
                <w:spacing w:val="0"/>
                <w:w w:val="100"/>
                <w:position w:val="0"/>
                <w:sz w:val="28"/>
                <w:szCs w:val="28"/>
                <w14:textFill>
                  <w14:solidFill>
                    <w14:schemeClr w14:val="tx1"/>
                  </w14:solidFill>
                </w14:textFill>
              </w:rPr>
              <w:t>= 80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5001-10000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1.2</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10000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80+(10000-5000)</w:t>
            </w:r>
            <w:r>
              <w:rPr>
                <w:rFonts w:hint="eastAsia" w:ascii="宋体" w:hAnsi="宋体" w:eastAsia="宋体" w:cs="宋体"/>
                <w:color w:val="000000" w:themeColor="text1"/>
                <w:spacing w:val="0"/>
                <w:w w:val="100"/>
                <w:position w:val="0"/>
                <w:sz w:val="28"/>
                <w:szCs w:val="28"/>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8"/>
                <w:szCs w:val="28"/>
                <w14:textFill>
                  <w14:solidFill>
                    <w14:schemeClr w14:val="tx1"/>
                  </w14:solidFill>
                </w14:textFill>
              </w:rPr>
              <w:t>1.2% = 140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pacing w:val="0"/>
                <w:w w:val="100"/>
                <w:positio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1000</w:t>
            </w: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1-50000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1</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50000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140+(</w:t>
            </w: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50000-10000)</w:t>
            </w:r>
            <w:r>
              <w:rPr>
                <w:rFonts w:hint="eastAsia" w:ascii="宋体" w:hAnsi="宋体" w:eastAsia="宋体" w:cs="宋体"/>
                <w:color w:val="000000" w:themeColor="text1"/>
                <w:spacing w:val="0"/>
                <w:w w:val="100"/>
                <w:position w:val="0"/>
                <w:sz w:val="28"/>
                <w:szCs w:val="28"/>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8"/>
                <w:szCs w:val="28"/>
                <w14:textFill>
                  <w14:solidFill>
                    <w14:schemeClr w14:val="tx1"/>
                  </w14:solidFill>
                </w14:textFill>
              </w:rPr>
              <w:t>1% = 540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pacing w:val="0"/>
                <w:w w:val="100"/>
                <w:positio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50001-100000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0.8</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100000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540+(</w:t>
            </w: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100000-50000)</w:t>
            </w:r>
            <w:r>
              <w:rPr>
                <w:rFonts w:hint="eastAsia" w:ascii="宋体" w:hAnsi="宋体" w:eastAsia="宋体" w:cs="宋体"/>
                <w:color w:val="000000" w:themeColor="text1"/>
                <w:spacing w:val="0"/>
                <w:w w:val="100"/>
                <w:position w:val="0"/>
                <w:sz w:val="28"/>
                <w:szCs w:val="28"/>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 xml:space="preserve">0.8% </w:t>
            </w:r>
            <w:r>
              <w:rPr>
                <w:rFonts w:hint="eastAsia" w:ascii="宋体" w:hAnsi="宋体" w:eastAsia="宋体" w:cs="宋体"/>
                <w:color w:val="000000" w:themeColor="text1"/>
                <w:spacing w:val="0"/>
                <w:w w:val="100"/>
                <w:position w:val="0"/>
                <w:sz w:val="28"/>
                <w:szCs w:val="28"/>
                <w14:textFill>
                  <w14:solidFill>
                    <w14:schemeClr w14:val="tx1"/>
                  </w14:solidFill>
                </w14:textFill>
              </w:rPr>
              <w:t>= 940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pacing w:val="0"/>
                <w:w w:val="100"/>
                <w:positio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9"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zh-CN" w:bidi="en-US"/>
                <w14:textFill>
                  <w14:solidFill>
                    <w14:schemeClr w14:val="tx1"/>
                  </w14:solidFill>
                </w14:textFill>
              </w:rPr>
              <w:t>100000以上</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0.4</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14:textFill>
                  <w14:solidFill>
                    <w14:schemeClr w14:val="tx1"/>
                  </w14:solidFill>
                </w14:textFill>
              </w:rPr>
              <w:t>200000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940+(200000-100000)</w:t>
            </w:r>
            <w:r>
              <w:rPr>
                <w:rFonts w:hint="eastAsia" w:ascii="宋体" w:hAnsi="宋体" w:eastAsia="宋体" w:cs="宋体"/>
                <w:color w:val="000000" w:themeColor="text1"/>
                <w:spacing w:val="0"/>
                <w:w w:val="100"/>
                <w:position w:val="0"/>
                <w:sz w:val="28"/>
                <w:szCs w:val="28"/>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t xml:space="preserve">0.4% </w:t>
            </w:r>
            <w:r>
              <w:rPr>
                <w:rFonts w:hint="eastAsia" w:ascii="宋体" w:hAnsi="宋体" w:eastAsia="宋体" w:cs="宋体"/>
                <w:color w:val="000000" w:themeColor="text1"/>
                <w:spacing w:val="0"/>
                <w:w w:val="100"/>
                <w:position w:val="0"/>
                <w:sz w:val="28"/>
                <w:szCs w:val="28"/>
                <w14:textFill>
                  <w14:solidFill>
                    <w14:schemeClr w14:val="tx1"/>
                  </w14:solidFill>
                </w14:textFill>
              </w:rPr>
              <w:t>= 1340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pacing w:val="0"/>
                <w:w w:val="100"/>
                <w:position w:val="0"/>
                <w:sz w:val="28"/>
                <w:szCs w:val="28"/>
                <w:lang w:val="en-US" w:eastAsia="en-US" w:bidi="en-US"/>
                <w14:textFill>
                  <w14:solidFill>
                    <w14:schemeClr w14:val="tx1"/>
                  </w14:solidFill>
                </w14:textFill>
              </w:rPr>
            </w:pPr>
          </w:p>
        </w:tc>
      </w:tr>
    </w:tbl>
    <w:p>
      <w:pPr>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p>
    <w:p>
      <w:pPr>
        <w:spacing w:line="360" w:lineRule="auto"/>
        <w:ind w:firstLine="562" w:firstLineChars="200"/>
        <w:rPr>
          <w:rFonts w:hint="eastAsia" w:ascii="Times New Roman"/>
          <w:b/>
          <w:bCs/>
          <w:color w:val="000000"/>
          <w:sz w:val="28"/>
          <w:szCs w:val="28"/>
          <w:lang w:val="en-US" w:eastAsia="zh-CN"/>
        </w:rPr>
      </w:pPr>
      <w:r>
        <w:rPr>
          <w:rFonts w:hint="eastAsia" w:ascii="Times New Roman"/>
          <w:b/>
          <w:bCs/>
          <w:color w:val="000000"/>
          <w:sz w:val="28"/>
          <w:szCs w:val="28"/>
          <w:lang w:val="en-US" w:eastAsia="zh-CN"/>
        </w:rPr>
        <w:t>（二）工程勘察管理</w:t>
      </w:r>
    </w:p>
    <w:p>
      <w:pPr>
        <w:spacing w:line="360" w:lineRule="auto"/>
        <w:ind w:firstLine="562" w:firstLineChars="200"/>
        <w:rPr>
          <w:rFonts w:hint="eastAsia" w:ascii="Times New Roman"/>
          <w:color w:val="000000"/>
          <w:sz w:val="28"/>
          <w:szCs w:val="28"/>
          <w:lang w:val="en-US" w:eastAsia="zh-CN"/>
        </w:rPr>
      </w:pPr>
      <w:r>
        <w:rPr>
          <w:rFonts w:hint="eastAsia" w:ascii="Times New Roman"/>
          <w:b/>
          <w:bCs/>
          <w:color w:val="000000"/>
          <w:sz w:val="28"/>
          <w:szCs w:val="28"/>
          <w:lang w:val="en-US" w:eastAsia="zh-CN"/>
        </w:rPr>
        <w:t>1、主要工作内容：</w:t>
      </w:r>
    </w:p>
    <w:p>
      <w:p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①工程咨询方应根据既有工程资料、工程勘察相关标准及拟建工程范围和设计需求，编制工程勘察任务书，并应报送委托方批准后方可提供给工程勘察设计单位。</w:t>
      </w:r>
    </w:p>
    <w:p>
      <w:p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②工程咨询方应检查勘察现场及室内试验主要岗位操作人员资格及所使用设备、仪器的计量检定情况。</w:t>
      </w:r>
    </w:p>
    <w:p>
      <w:p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③工程咨询方应检查工程勘察方案及勘察进度计划执行情况，督促勘察单位完成勘察合同约定的工作内容。对重要点位的勘察与测试宜进行现场检查。</w:t>
      </w:r>
    </w:p>
    <w:p>
      <w:p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④工程咨询方应审核工程勘察单位提交的勘察费用支付申请，签署审核意见后报送委托方。</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⑤工程咨询方应分析可能发生的工程勘察索赔原因，并应制定防范对策。工程勘察索赔事件发生后，应协调处理勘察延期、费用索赔等事宜。</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⑥工程咨询方应审查工程勘察单位提交的勘察成果报告，并应向委托方提交勘察成果评估报告，同时应留存勘察成果资料及审查资料。</w:t>
      </w:r>
    </w:p>
    <w:p>
      <w:pPr>
        <w:numPr>
          <w:ilvl w:val="0"/>
          <w:numId w:val="0"/>
        </w:numPr>
        <w:spacing w:line="360" w:lineRule="auto"/>
        <w:ind w:firstLine="562" w:firstLineChars="200"/>
        <w:rPr>
          <w:rFonts w:hint="eastAsia" w:ascii="Times New Roman"/>
          <w:color w:val="000000"/>
          <w:sz w:val="28"/>
          <w:szCs w:val="28"/>
          <w:lang w:val="en-US" w:eastAsia="zh-CN"/>
        </w:rPr>
      </w:pPr>
      <w:r>
        <w:rPr>
          <w:rFonts w:hint="eastAsia" w:ascii="Times New Roman"/>
          <w:b/>
          <w:bCs/>
          <w:color w:val="000000"/>
          <w:sz w:val="28"/>
          <w:szCs w:val="28"/>
          <w:lang w:val="en-US" w:eastAsia="zh-CN"/>
        </w:rPr>
        <w:t>2、收费标准：</w:t>
      </w:r>
      <w:r>
        <w:rPr>
          <w:rFonts w:hint="eastAsia" w:ascii="Times New Roman"/>
          <w:color w:val="000000"/>
          <w:sz w:val="28"/>
          <w:szCs w:val="28"/>
          <w:lang w:val="en-US" w:eastAsia="zh-CN"/>
        </w:rPr>
        <w:t>参考《财建[2016]504号》的建设管理费，全部建设管理费中包含：投资决策综合性管理（暂定15~20%）、勘察管理（暂定10~15%）、设计管理（暂定25~30%）、施工项目管理（暂定50~35%）比例分配，总计100%。</w:t>
      </w:r>
    </w:p>
    <w:p>
      <w:pPr>
        <w:numPr>
          <w:ilvl w:val="0"/>
          <w:numId w:val="0"/>
        </w:numPr>
        <w:spacing w:line="360" w:lineRule="auto"/>
        <w:ind w:firstLine="560" w:firstLineChars="200"/>
        <w:rPr>
          <w:rFonts w:hint="eastAsia" w:ascii="Times New Roman"/>
          <w:color w:val="000000"/>
          <w:sz w:val="28"/>
          <w:szCs w:val="28"/>
          <w:lang w:val="en-US" w:eastAsia="zh-CN"/>
        </w:rPr>
      </w:pPr>
    </w:p>
    <w:p>
      <w:pPr>
        <w:numPr>
          <w:ilvl w:val="0"/>
          <w:numId w:val="0"/>
        </w:numPr>
        <w:spacing w:line="360" w:lineRule="auto"/>
        <w:ind w:firstLine="560" w:firstLineChars="200"/>
        <w:rPr>
          <w:rFonts w:hint="eastAsia" w:ascii="Times New Roman"/>
          <w:color w:val="000000"/>
          <w:sz w:val="28"/>
          <w:szCs w:val="28"/>
          <w:lang w:val="en-US" w:eastAsia="zh-CN"/>
        </w:rPr>
      </w:pPr>
    </w:p>
    <w:tbl>
      <w:tblPr>
        <w:tblStyle w:val="5"/>
        <w:tblW w:w="10733" w:type="dxa"/>
        <w:tblInd w:w="-1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850"/>
        <w:gridCol w:w="1333"/>
        <w:gridCol w:w="1600"/>
        <w:gridCol w:w="4762"/>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cs="宋体"/>
                <w:color w:val="000000"/>
                <w:spacing w:val="0"/>
                <w:w w:val="100"/>
                <w:position w:val="0"/>
                <w:sz w:val="28"/>
                <w:szCs w:val="28"/>
                <w:lang w:eastAsia="zh-CN"/>
              </w:rPr>
            </w:pPr>
            <w:r>
              <w:rPr>
                <w:rFonts w:hint="eastAsia" w:ascii="宋体" w:hAnsi="宋体" w:eastAsia="宋体" w:cs="宋体"/>
                <w:color w:val="000000"/>
                <w:spacing w:val="0"/>
                <w:w w:val="100"/>
                <w:position w:val="0"/>
                <w:sz w:val="28"/>
                <w:szCs w:val="28"/>
              </w:rPr>
              <w:t>工程总</w:t>
            </w:r>
            <w:r>
              <w:rPr>
                <w:rFonts w:hint="eastAsia" w:ascii="宋体" w:hAnsi="宋体" w:cs="宋体"/>
                <w:color w:val="000000"/>
                <w:spacing w:val="0"/>
                <w:w w:val="100"/>
                <w:position w:val="0"/>
                <w:sz w:val="28"/>
                <w:szCs w:val="28"/>
                <w:lang w:eastAsia="zh-CN"/>
              </w:rPr>
              <w:t>概算</w:t>
            </w:r>
          </w:p>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8"/>
                <w:szCs w:val="28"/>
                <w:lang w:eastAsia="zh-CN"/>
              </w:rPr>
            </w:pPr>
            <w:r>
              <w:rPr>
                <w:rFonts w:hint="eastAsia" w:ascii="宋体" w:hAnsi="宋体" w:cs="宋体"/>
                <w:color w:val="000000"/>
                <w:spacing w:val="0"/>
                <w:w w:val="100"/>
                <w:position w:val="0"/>
                <w:sz w:val="28"/>
                <w:szCs w:val="28"/>
                <w:lang w:eastAsia="zh-CN"/>
              </w:rPr>
              <w:t>（万元）</w:t>
            </w:r>
          </w:p>
        </w:tc>
        <w:tc>
          <w:tcPr>
            <w:tcW w:w="1333"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费率（%）</w:t>
            </w:r>
          </w:p>
        </w:tc>
        <w:tc>
          <w:tcPr>
            <w:tcW w:w="6362" w:type="dxa"/>
            <w:gridSpan w:val="2"/>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算例</w:t>
            </w:r>
          </w:p>
        </w:tc>
        <w:tc>
          <w:tcPr>
            <w:tcW w:w="1188"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eastAsia="zh-CN"/>
              </w:rPr>
            </w:pPr>
            <w:r>
              <w:rPr>
                <w:rFonts w:hint="eastAsia" w:ascii="宋体" w:hAnsi="宋体" w:cs="宋体"/>
                <w:color w:val="000000"/>
                <w:spacing w:val="0"/>
                <w:w w:val="100"/>
                <w:position w:val="0"/>
                <w:sz w:val="28"/>
                <w:szCs w:val="28"/>
                <w:lang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9" w:hRule="exact"/>
        </w:trPr>
        <w:tc>
          <w:tcPr>
            <w:tcW w:w="1850" w:type="dxa"/>
            <w:vMerge w:val="continue"/>
            <w:shd w:val="clear" w:color="auto" w:fill="FFFFFF"/>
            <w:vAlign w:val="center"/>
          </w:tcPr>
          <w:p>
            <w:pPr>
              <w:rPr>
                <w:rFonts w:hint="eastAsia" w:ascii="宋体" w:hAnsi="宋体" w:eastAsia="宋体" w:cs="宋体"/>
                <w:sz w:val="28"/>
                <w:szCs w:val="28"/>
              </w:rPr>
            </w:pPr>
          </w:p>
        </w:tc>
        <w:tc>
          <w:tcPr>
            <w:tcW w:w="1333" w:type="dxa"/>
            <w:vMerge w:val="continue"/>
            <w:shd w:val="clear" w:color="auto" w:fill="FFFFFF"/>
            <w:vAlign w:val="center"/>
          </w:tcPr>
          <w:p>
            <w:pPr>
              <w:rPr>
                <w:rFonts w:hint="eastAsia" w:ascii="宋体" w:hAnsi="宋体" w:eastAsia="宋体" w:cs="宋体"/>
                <w:sz w:val="28"/>
                <w:szCs w:val="28"/>
              </w:rPr>
            </w:pP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工程总概算</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eastAsia="zh-CN"/>
              </w:rPr>
            </w:pPr>
            <w:r>
              <w:rPr>
                <w:rFonts w:hint="eastAsia"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rPr>
              <w:t>项目建设管理费</w:t>
            </w:r>
            <w:r>
              <w:rPr>
                <w:rFonts w:hint="eastAsia" w:ascii="宋体" w:hAnsi="宋体" w:cs="宋体"/>
                <w:color w:val="000000"/>
                <w:spacing w:val="0"/>
                <w:w w:val="100"/>
                <w:position w:val="0"/>
                <w:sz w:val="28"/>
                <w:szCs w:val="28"/>
                <w:lang w:eastAsia="zh-CN"/>
              </w:rPr>
              <w:t>（万元）</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1"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zh-CN"/>
              </w:rPr>
              <w:t>1</w:t>
            </w:r>
            <w:r>
              <w:rPr>
                <w:rFonts w:hint="eastAsia" w:ascii="宋体" w:hAnsi="宋体" w:eastAsia="宋体" w:cs="宋体"/>
                <w:color w:val="000000"/>
                <w:spacing w:val="0"/>
                <w:w w:val="100"/>
                <w:position w:val="0"/>
                <w:sz w:val="28"/>
                <w:szCs w:val="28"/>
              </w:rPr>
              <w:t>000以下</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w:t>
            </w:r>
            <w:r>
              <w:rPr>
                <w:rFonts w:hint="eastAsia" w:ascii="宋体" w:hAnsi="宋体" w:eastAsia="宋体" w:cs="宋体"/>
                <w:color w:val="000000"/>
                <w:spacing w:val="0"/>
                <w:w w:val="100"/>
                <w:position w:val="0"/>
                <w:sz w:val="28"/>
                <w:szCs w:val="28"/>
                <w:lang w:val="en-US" w:eastAsia="zh-CN"/>
              </w:rPr>
              <w:t>0</w:t>
            </w:r>
            <w:r>
              <w:rPr>
                <w:rFonts w:hint="eastAsia" w:ascii="宋体" w:hAnsi="宋体" w:eastAsia="宋体" w:cs="宋体"/>
                <w:color w:val="000000"/>
                <w:spacing w:val="0"/>
                <w:w w:val="100"/>
                <w:position w:val="0"/>
                <w:sz w:val="28"/>
                <w:szCs w:val="28"/>
              </w:rPr>
              <w:t>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rPr>
              <w:t>2% = 20</w:t>
            </w:r>
          </w:p>
        </w:tc>
        <w:tc>
          <w:tcPr>
            <w:tcW w:w="1188"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spacing w:val="0"/>
                <w:w w:val="100"/>
                <w:position w:val="0"/>
                <w:sz w:val="28"/>
                <w:szCs w:val="28"/>
                <w:lang w:val="en-US" w:eastAsia="zh-CN"/>
              </w:rPr>
            </w:pPr>
            <w:r>
              <w:rPr>
                <w:rFonts w:hint="eastAsia" w:ascii="Times New Roman" w:cs="Times New Roman"/>
                <w:color w:val="000000"/>
                <w:sz w:val="28"/>
                <w:szCs w:val="28"/>
                <w:lang w:val="en-US" w:eastAsia="zh-CN"/>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1"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1001-5000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1.5</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5000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29+(5000-1000)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lang w:val="en-US" w:eastAsia="en-US" w:bidi="en-US"/>
              </w:rPr>
              <w:t xml:space="preserve">l.5% </w:t>
            </w:r>
            <w:r>
              <w:rPr>
                <w:rFonts w:hint="eastAsia" w:ascii="宋体" w:hAnsi="宋体" w:eastAsia="宋体" w:cs="宋体"/>
                <w:color w:val="000000"/>
                <w:spacing w:val="0"/>
                <w:w w:val="100"/>
                <w:position w:val="0"/>
                <w:sz w:val="28"/>
                <w:szCs w:val="28"/>
              </w:rPr>
              <w:t>= 80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5001-10000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1.2</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80+(10000-5000)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rPr>
              <w:t>1.2% = 140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w:t>
            </w:r>
            <w:r>
              <w:rPr>
                <w:rFonts w:hint="eastAsia" w:ascii="宋体" w:hAnsi="宋体" w:eastAsia="宋体" w:cs="宋体"/>
                <w:color w:val="000000"/>
                <w:spacing w:val="0"/>
                <w:w w:val="100"/>
                <w:position w:val="0"/>
                <w:sz w:val="28"/>
                <w:szCs w:val="28"/>
                <w:lang w:val="en-US" w:eastAsia="en-US" w:bidi="en-US"/>
              </w:rPr>
              <w:t>1-50000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50000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140+(</w:t>
            </w:r>
            <w:r>
              <w:rPr>
                <w:rFonts w:hint="eastAsia" w:ascii="宋体" w:hAnsi="宋体" w:eastAsia="宋体" w:cs="宋体"/>
                <w:color w:val="000000"/>
                <w:spacing w:val="0"/>
                <w:w w:val="100"/>
                <w:position w:val="0"/>
                <w:sz w:val="28"/>
                <w:szCs w:val="28"/>
                <w:lang w:val="en-US" w:eastAsia="en-US" w:bidi="en-US"/>
              </w:rPr>
              <w:t>50000-10000)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rPr>
              <w:t>1% = 540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50001-100000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0.8</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540+(</w:t>
            </w:r>
            <w:r>
              <w:rPr>
                <w:rFonts w:hint="eastAsia" w:ascii="宋体" w:hAnsi="宋体" w:eastAsia="宋体" w:cs="宋体"/>
                <w:color w:val="000000"/>
                <w:spacing w:val="0"/>
                <w:w w:val="100"/>
                <w:position w:val="0"/>
                <w:sz w:val="28"/>
                <w:szCs w:val="28"/>
                <w:lang w:val="en-US" w:eastAsia="en-US" w:bidi="en-US"/>
              </w:rPr>
              <w:t>100000-50000)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lang w:val="en-US" w:eastAsia="en-US" w:bidi="en-US"/>
              </w:rPr>
              <w:t xml:space="preserve">0.8% </w:t>
            </w:r>
            <w:r>
              <w:rPr>
                <w:rFonts w:hint="eastAsia" w:ascii="宋体" w:hAnsi="宋体" w:eastAsia="宋体" w:cs="宋体"/>
                <w:color w:val="000000"/>
                <w:spacing w:val="0"/>
                <w:w w:val="100"/>
                <w:position w:val="0"/>
                <w:sz w:val="28"/>
                <w:szCs w:val="28"/>
              </w:rPr>
              <w:t>= 940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9"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lang w:val="en-US" w:eastAsia="zh-CN"/>
              </w:rPr>
            </w:pPr>
            <w:r>
              <w:rPr>
                <w:rFonts w:hint="eastAsia" w:ascii="宋体" w:hAnsi="宋体" w:eastAsia="宋体" w:cs="宋体"/>
                <w:color w:val="000000"/>
                <w:spacing w:val="0"/>
                <w:w w:val="100"/>
                <w:position w:val="0"/>
                <w:sz w:val="28"/>
                <w:szCs w:val="28"/>
                <w:lang w:val="en-US" w:eastAsia="zh-CN" w:bidi="en-US"/>
              </w:rPr>
              <w:t>100000以上</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0.4</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200000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940+(200000-100000)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lang w:val="en-US" w:eastAsia="en-US" w:bidi="en-US"/>
              </w:rPr>
              <w:t xml:space="preserve">0.4% </w:t>
            </w:r>
            <w:r>
              <w:rPr>
                <w:rFonts w:hint="eastAsia" w:ascii="宋体" w:hAnsi="宋体" w:eastAsia="宋体" w:cs="宋体"/>
                <w:color w:val="000000"/>
                <w:spacing w:val="0"/>
                <w:w w:val="100"/>
                <w:position w:val="0"/>
                <w:sz w:val="28"/>
                <w:szCs w:val="28"/>
              </w:rPr>
              <w:t>= 1340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val="en-US" w:eastAsia="en-US" w:bidi="en-US"/>
              </w:rPr>
            </w:pPr>
          </w:p>
        </w:tc>
      </w:tr>
    </w:tbl>
    <w:p>
      <w:pPr>
        <w:pStyle w:val="10"/>
        <w:keepNext w:val="0"/>
        <w:keepLines w:val="0"/>
        <w:widowControl w:val="0"/>
        <w:shd w:val="clear" w:color="auto" w:fill="auto"/>
        <w:bidi w:val="0"/>
        <w:spacing w:before="0" w:after="0" w:line="240" w:lineRule="auto"/>
        <w:ind w:right="0"/>
        <w:jc w:val="left"/>
        <w:rPr>
          <w:rFonts w:hint="eastAsia" w:ascii="宋体" w:hAnsi="宋体" w:eastAsia="宋体" w:cs="宋体"/>
          <w:sz w:val="28"/>
          <w:szCs w:val="28"/>
        </w:rPr>
      </w:pPr>
      <w:r>
        <w:rPr>
          <w:rFonts w:hint="eastAsia" w:cs="宋体"/>
          <w:color w:val="000000"/>
          <w:spacing w:val="0"/>
          <w:w w:val="100"/>
          <w:position w:val="0"/>
          <w:sz w:val="28"/>
          <w:szCs w:val="28"/>
          <w:lang w:eastAsia="zh-CN"/>
        </w:rPr>
        <w:t>注：</w:t>
      </w:r>
      <w:r>
        <w:rPr>
          <w:rFonts w:hint="eastAsia" w:ascii="宋体" w:hAnsi="宋体" w:eastAsia="宋体" w:cs="宋体"/>
          <w:color w:val="000000"/>
          <w:spacing w:val="0"/>
          <w:w w:val="100"/>
          <w:position w:val="0"/>
          <w:sz w:val="28"/>
          <w:szCs w:val="28"/>
        </w:rPr>
        <w:t>计费基数扣除建设用地费和项目建设</w:t>
      </w:r>
      <w:r>
        <w:rPr>
          <w:rFonts w:hint="eastAsia" w:cs="宋体"/>
          <w:color w:val="000000"/>
          <w:spacing w:val="0"/>
          <w:w w:val="100"/>
          <w:position w:val="0"/>
          <w:sz w:val="28"/>
          <w:szCs w:val="28"/>
          <w:lang w:eastAsia="zh-CN"/>
        </w:rPr>
        <w:t>管理</w:t>
      </w:r>
      <w:r>
        <w:rPr>
          <w:rFonts w:hint="eastAsia" w:ascii="宋体" w:hAnsi="宋体" w:eastAsia="宋体" w:cs="宋体"/>
          <w:color w:val="000000"/>
          <w:spacing w:val="0"/>
          <w:w w:val="100"/>
          <w:position w:val="0"/>
          <w:sz w:val="28"/>
          <w:szCs w:val="28"/>
        </w:rPr>
        <w:t>费。</w:t>
      </w:r>
    </w:p>
    <w:p>
      <w:pPr>
        <w:numPr>
          <w:ilvl w:val="0"/>
          <w:numId w:val="0"/>
        </w:numPr>
        <w:tabs>
          <w:tab w:val="left" w:pos="312"/>
        </w:tabs>
        <w:spacing w:line="360" w:lineRule="auto"/>
        <w:ind w:firstLine="281" w:firstLineChars="100"/>
        <w:rPr>
          <w:rFonts w:hint="eastAsia" w:ascii="Times New Roman"/>
          <w:b/>
          <w:bCs/>
          <w:color w:val="000000"/>
          <w:sz w:val="28"/>
          <w:szCs w:val="28"/>
          <w:lang w:val="en-US" w:eastAsia="zh-CN"/>
        </w:rPr>
      </w:pPr>
    </w:p>
    <w:p>
      <w:pPr>
        <w:numPr>
          <w:ilvl w:val="0"/>
          <w:numId w:val="0"/>
        </w:numPr>
        <w:tabs>
          <w:tab w:val="left" w:pos="312"/>
        </w:tabs>
        <w:spacing w:line="360" w:lineRule="auto"/>
        <w:ind w:firstLine="281" w:firstLineChars="100"/>
        <w:rPr>
          <w:rFonts w:hint="eastAsia" w:ascii="Times New Roman"/>
          <w:b/>
          <w:bCs/>
          <w:color w:val="000000"/>
          <w:sz w:val="28"/>
          <w:szCs w:val="28"/>
          <w:lang w:val="en-US" w:eastAsia="zh-CN"/>
        </w:rPr>
      </w:pPr>
      <w:r>
        <w:rPr>
          <w:rFonts w:hint="eastAsia" w:ascii="Times New Roman"/>
          <w:b/>
          <w:bCs/>
          <w:color w:val="000000"/>
          <w:sz w:val="28"/>
          <w:szCs w:val="28"/>
          <w:lang w:val="en-US" w:eastAsia="zh-CN"/>
        </w:rPr>
        <w:t>（三）工程设计管理</w:t>
      </w:r>
    </w:p>
    <w:p>
      <w:pPr>
        <w:numPr>
          <w:ilvl w:val="0"/>
          <w:numId w:val="0"/>
        </w:numPr>
        <w:spacing w:line="360" w:lineRule="auto"/>
        <w:ind w:firstLine="562" w:firstLineChars="200"/>
        <w:rPr>
          <w:rFonts w:hint="eastAsia" w:ascii="Times New Roman"/>
          <w:b/>
          <w:bCs/>
          <w:color w:val="000000"/>
          <w:sz w:val="28"/>
          <w:szCs w:val="28"/>
          <w:lang w:val="en-US" w:eastAsia="zh-CN"/>
        </w:rPr>
      </w:pPr>
      <w:r>
        <w:rPr>
          <w:rFonts w:hint="eastAsia" w:ascii="Times New Roman"/>
          <w:b/>
          <w:bCs/>
          <w:color w:val="000000"/>
          <w:sz w:val="28"/>
          <w:szCs w:val="28"/>
          <w:lang w:val="en-US" w:eastAsia="zh-CN"/>
        </w:rPr>
        <w:t xml:space="preserve">1、主要工作内容： </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①工程咨询方应根据项目可行性研究报告、工程建设标准及拟建工程范围和委托方需求，编制工程设计任务书，并应报送委托方批准后方可提供给工程勘察设计单位。</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②需要通过设计方案竞赛优选设计方案及设计单位的，工程咨询方应协助委托方组织设计方案竞赛活动，并应参与设计合同谈判及签订工作。</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③工程咨询方应检查各阶段工程设计进度计划执行情况，督促设计单位完成设计合同约定的工作内容，按计划时间提交相应设计成果。</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④工程咨询方应审核工程设计单位提交的设计费用支付申请，签署审核意见后报送委托方。</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⑤工程咨询方应审查工程设计单位提交的各阶段设计成果质量，并可向工程设计单位提出设计方案优化建议。</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⑥工程咨询方应审查设计单位提交的设计概算、施工图预算，并应将审查意见报送委托方。</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⑦工程咨询方应分析可能发生的工程设计索赔原因，并应制定防范对策。工程设计索赔事件发生后，应协调处理设计延期、费用索赔等事宜。</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⑧工程咨询方可协助委托方向政府有关部门报审工程设计文件，并应根据政府有关部门审批意见，敦促设计单位予以完善。</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⑨工程咨询方可协助委托方办理施工图设计文件审查事宜。</w:t>
      </w:r>
    </w:p>
    <w:p>
      <w:pPr>
        <w:numPr>
          <w:ilvl w:val="0"/>
          <w:numId w:val="0"/>
        </w:numPr>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⑩工程咨询方应做好设计收尾管理及设计文件资料归档管理工作。</w:t>
      </w:r>
    </w:p>
    <w:p>
      <w:pPr>
        <w:numPr>
          <w:ilvl w:val="0"/>
          <w:numId w:val="0"/>
        </w:numPr>
        <w:spacing w:line="360" w:lineRule="auto"/>
        <w:ind w:firstLine="562" w:firstLineChars="200"/>
        <w:rPr>
          <w:rFonts w:hint="eastAsia" w:ascii="Times New Roman"/>
          <w:color w:val="000000"/>
          <w:sz w:val="28"/>
          <w:szCs w:val="28"/>
          <w:lang w:val="en-US" w:eastAsia="zh-CN"/>
        </w:rPr>
      </w:pPr>
      <w:r>
        <w:rPr>
          <w:rFonts w:hint="eastAsia" w:ascii="Times New Roman"/>
          <w:b/>
          <w:bCs/>
          <w:color w:val="000000"/>
          <w:sz w:val="28"/>
          <w:szCs w:val="28"/>
          <w:lang w:val="en-US" w:eastAsia="zh-CN"/>
        </w:rPr>
        <w:t>2、收费标准：</w:t>
      </w:r>
      <w:r>
        <w:rPr>
          <w:rFonts w:hint="eastAsia" w:ascii="Times New Roman"/>
          <w:color w:val="000000"/>
          <w:sz w:val="28"/>
          <w:szCs w:val="28"/>
          <w:lang w:val="en-US" w:eastAsia="zh-CN"/>
        </w:rPr>
        <w:t>参考《财建[2016]504号》的建设管理费，全部建设管理费中包含：投资决策综合性管理（暂定15~20%）、勘察管理（暂定10~15%）、设计管理（暂定25~30%）、施工项目管理（暂定50~35%）比例分配，总计100%。</w:t>
      </w:r>
    </w:p>
    <w:tbl>
      <w:tblPr>
        <w:tblStyle w:val="5"/>
        <w:tblW w:w="10733" w:type="dxa"/>
        <w:tblInd w:w="-1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850"/>
        <w:gridCol w:w="1333"/>
        <w:gridCol w:w="1600"/>
        <w:gridCol w:w="4762"/>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cs="宋体"/>
                <w:color w:val="000000"/>
                <w:spacing w:val="0"/>
                <w:w w:val="100"/>
                <w:position w:val="0"/>
                <w:sz w:val="28"/>
                <w:szCs w:val="28"/>
                <w:lang w:eastAsia="zh-CN"/>
              </w:rPr>
            </w:pPr>
            <w:r>
              <w:rPr>
                <w:rFonts w:hint="eastAsia" w:ascii="宋体" w:hAnsi="宋体" w:eastAsia="宋体" w:cs="宋体"/>
                <w:color w:val="000000"/>
                <w:spacing w:val="0"/>
                <w:w w:val="100"/>
                <w:position w:val="0"/>
                <w:sz w:val="28"/>
                <w:szCs w:val="28"/>
              </w:rPr>
              <w:t>工程总</w:t>
            </w:r>
            <w:r>
              <w:rPr>
                <w:rFonts w:hint="eastAsia" w:ascii="宋体" w:hAnsi="宋体" w:cs="宋体"/>
                <w:color w:val="000000"/>
                <w:spacing w:val="0"/>
                <w:w w:val="100"/>
                <w:position w:val="0"/>
                <w:sz w:val="28"/>
                <w:szCs w:val="28"/>
                <w:lang w:eastAsia="zh-CN"/>
              </w:rPr>
              <w:t>概算</w:t>
            </w:r>
          </w:p>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8"/>
                <w:szCs w:val="28"/>
                <w:lang w:eastAsia="zh-CN"/>
              </w:rPr>
            </w:pPr>
            <w:r>
              <w:rPr>
                <w:rFonts w:hint="eastAsia" w:ascii="宋体" w:hAnsi="宋体" w:cs="宋体"/>
                <w:color w:val="000000"/>
                <w:spacing w:val="0"/>
                <w:w w:val="100"/>
                <w:position w:val="0"/>
                <w:sz w:val="28"/>
                <w:szCs w:val="28"/>
                <w:lang w:eastAsia="zh-CN"/>
              </w:rPr>
              <w:t>（万元）</w:t>
            </w:r>
          </w:p>
        </w:tc>
        <w:tc>
          <w:tcPr>
            <w:tcW w:w="1333"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费率（%）</w:t>
            </w:r>
          </w:p>
        </w:tc>
        <w:tc>
          <w:tcPr>
            <w:tcW w:w="6362" w:type="dxa"/>
            <w:gridSpan w:val="2"/>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算例</w:t>
            </w:r>
          </w:p>
        </w:tc>
        <w:tc>
          <w:tcPr>
            <w:tcW w:w="1188"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eastAsia="zh-CN"/>
              </w:rPr>
            </w:pPr>
            <w:r>
              <w:rPr>
                <w:rFonts w:hint="eastAsia" w:ascii="宋体" w:hAnsi="宋体" w:cs="宋体"/>
                <w:color w:val="000000"/>
                <w:spacing w:val="0"/>
                <w:w w:val="100"/>
                <w:position w:val="0"/>
                <w:sz w:val="28"/>
                <w:szCs w:val="28"/>
                <w:lang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9" w:hRule="exact"/>
        </w:trPr>
        <w:tc>
          <w:tcPr>
            <w:tcW w:w="1850" w:type="dxa"/>
            <w:vMerge w:val="continue"/>
            <w:shd w:val="clear" w:color="auto" w:fill="FFFFFF"/>
            <w:vAlign w:val="center"/>
          </w:tcPr>
          <w:p>
            <w:pPr>
              <w:rPr>
                <w:rFonts w:hint="eastAsia" w:ascii="宋体" w:hAnsi="宋体" w:eastAsia="宋体" w:cs="宋体"/>
                <w:sz w:val="28"/>
                <w:szCs w:val="28"/>
              </w:rPr>
            </w:pPr>
          </w:p>
        </w:tc>
        <w:tc>
          <w:tcPr>
            <w:tcW w:w="1333" w:type="dxa"/>
            <w:vMerge w:val="continue"/>
            <w:shd w:val="clear" w:color="auto" w:fill="FFFFFF"/>
            <w:vAlign w:val="center"/>
          </w:tcPr>
          <w:p>
            <w:pPr>
              <w:rPr>
                <w:rFonts w:hint="eastAsia" w:ascii="宋体" w:hAnsi="宋体" w:eastAsia="宋体" w:cs="宋体"/>
                <w:sz w:val="28"/>
                <w:szCs w:val="28"/>
              </w:rPr>
            </w:pP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工程总概算</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eastAsia="zh-CN"/>
              </w:rPr>
            </w:pPr>
            <w:r>
              <w:rPr>
                <w:rFonts w:hint="eastAsia"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rPr>
              <w:t>项目建设管理费</w:t>
            </w:r>
            <w:r>
              <w:rPr>
                <w:rFonts w:hint="eastAsia" w:ascii="宋体" w:hAnsi="宋体" w:cs="宋体"/>
                <w:color w:val="000000"/>
                <w:spacing w:val="0"/>
                <w:w w:val="100"/>
                <w:position w:val="0"/>
                <w:sz w:val="28"/>
                <w:szCs w:val="28"/>
                <w:lang w:eastAsia="zh-CN"/>
              </w:rPr>
              <w:t>（万元）</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1"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zh-CN"/>
              </w:rPr>
              <w:t>1</w:t>
            </w:r>
            <w:r>
              <w:rPr>
                <w:rFonts w:hint="eastAsia" w:ascii="宋体" w:hAnsi="宋体" w:eastAsia="宋体" w:cs="宋体"/>
                <w:color w:val="000000"/>
                <w:spacing w:val="0"/>
                <w:w w:val="100"/>
                <w:position w:val="0"/>
                <w:sz w:val="28"/>
                <w:szCs w:val="28"/>
              </w:rPr>
              <w:t>000以下</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w:t>
            </w:r>
            <w:r>
              <w:rPr>
                <w:rFonts w:hint="eastAsia" w:ascii="宋体" w:hAnsi="宋体" w:eastAsia="宋体" w:cs="宋体"/>
                <w:color w:val="000000"/>
                <w:spacing w:val="0"/>
                <w:w w:val="100"/>
                <w:position w:val="0"/>
                <w:sz w:val="28"/>
                <w:szCs w:val="28"/>
                <w:lang w:val="en-US" w:eastAsia="zh-CN"/>
              </w:rPr>
              <w:t>0</w:t>
            </w:r>
            <w:r>
              <w:rPr>
                <w:rFonts w:hint="eastAsia" w:ascii="宋体" w:hAnsi="宋体" w:eastAsia="宋体" w:cs="宋体"/>
                <w:color w:val="000000"/>
                <w:spacing w:val="0"/>
                <w:w w:val="100"/>
                <w:position w:val="0"/>
                <w:sz w:val="28"/>
                <w:szCs w:val="28"/>
              </w:rPr>
              <w:t>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rPr>
              <w:t>2% = 20</w:t>
            </w:r>
          </w:p>
        </w:tc>
        <w:tc>
          <w:tcPr>
            <w:tcW w:w="1188"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spacing w:val="0"/>
                <w:w w:val="100"/>
                <w:position w:val="0"/>
                <w:sz w:val="28"/>
                <w:szCs w:val="28"/>
                <w:lang w:val="en-US" w:eastAsia="zh-CN"/>
              </w:rPr>
            </w:pPr>
            <w:r>
              <w:rPr>
                <w:rFonts w:hint="eastAsia" w:ascii="宋体" w:hAnsi="宋体" w:cs="宋体"/>
                <w:color w:val="000000"/>
                <w:spacing w:val="0"/>
                <w:w w:val="100"/>
                <w:position w:val="0"/>
                <w:sz w:val="28"/>
                <w:szCs w:val="28"/>
                <w:lang w:val="en-US" w:eastAsia="zh-CN"/>
              </w:rPr>
              <w:t>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1"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1001-5000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1.5</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5000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29+(5000-1000)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lang w:val="en-US" w:eastAsia="en-US" w:bidi="en-US"/>
              </w:rPr>
              <w:t xml:space="preserve">l.5% </w:t>
            </w:r>
            <w:r>
              <w:rPr>
                <w:rFonts w:hint="eastAsia" w:ascii="宋体" w:hAnsi="宋体" w:eastAsia="宋体" w:cs="宋体"/>
                <w:color w:val="000000"/>
                <w:spacing w:val="0"/>
                <w:w w:val="100"/>
                <w:position w:val="0"/>
                <w:sz w:val="28"/>
                <w:szCs w:val="28"/>
              </w:rPr>
              <w:t>= 80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5001-10000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1.2</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80+(10000-5000)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rPr>
              <w:t>1.2% = 140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w:t>
            </w:r>
            <w:r>
              <w:rPr>
                <w:rFonts w:hint="eastAsia" w:ascii="宋体" w:hAnsi="宋体" w:eastAsia="宋体" w:cs="宋体"/>
                <w:color w:val="000000"/>
                <w:spacing w:val="0"/>
                <w:w w:val="100"/>
                <w:position w:val="0"/>
                <w:sz w:val="28"/>
                <w:szCs w:val="28"/>
                <w:lang w:val="en-US" w:eastAsia="en-US" w:bidi="en-US"/>
              </w:rPr>
              <w:t>1-50000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50000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140+(</w:t>
            </w:r>
            <w:r>
              <w:rPr>
                <w:rFonts w:hint="eastAsia" w:ascii="宋体" w:hAnsi="宋体" w:eastAsia="宋体" w:cs="宋体"/>
                <w:color w:val="000000"/>
                <w:spacing w:val="0"/>
                <w:w w:val="100"/>
                <w:position w:val="0"/>
                <w:sz w:val="28"/>
                <w:szCs w:val="28"/>
                <w:lang w:val="en-US" w:eastAsia="en-US" w:bidi="en-US"/>
              </w:rPr>
              <w:t>50000-10000)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rPr>
              <w:t>1% = 540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50001-100000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0.8</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540+(</w:t>
            </w:r>
            <w:r>
              <w:rPr>
                <w:rFonts w:hint="eastAsia" w:ascii="宋体" w:hAnsi="宋体" w:eastAsia="宋体" w:cs="宋体"/>
                <w:color w:val="000000"/>
                <w:spacing w:val="0"/>
                <w:w w:val="100"/>
                <w:position w:val="0"/>
                <w:sz w:val="28"/>
                <w:szCs w:val="28"/>
                <w:lang w:val="en-US" w:eastAsia="en-US" w:bidi="en-US"/>
              </w:rPr>
              <w:t>100000-50000)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lang w:val="en-US" w:eastAsia="en-US" w:bidi="en-US"/>
              </w:rPr>
              <w:t xml:space="preserve">0.8% </w:t>
            </w:r>
            <w:r>
              <w:rPr>
                <w:rFonts w:hint="eastAsia" w:ascii="宋体" w:hAnsi="宋体" w:eastAsia="宋体" w:cs="宋体"/>
                <w:color w:val="000000"/>
                <w:spacing w:val="0"/>
                <w:w w:val="100"/>
                <w:position w:val="0"/>
                <w:sz w:val="28"/>
                <w:szCs w:val="28"/>
              </w:rPr>
              <w:t>= 940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9"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lang w:val="en-US" w:eastAsia="zh-CN"/>
              </w:rPr>
            </w:pPr>
            <w:r>
              <w:rPr>
                <w:rFonts w:hint="eastAsia" w:ascii="宋体" w:hAnsi="宋体" w:eastAsia="宋体" w:cs="宋体"/>
                <w:color w:val="000000"/>
                <w:spacing w:val="0"/>
                <w:w w:val="100"/>
                <w:position w:val="0"/>
                <w:sz w:val="28"/>
                <w:szCs w:val="28"/>
                <w:lang w:val="en-US" w:eastAsia="zh-CN" w:bidi="en-US"/>
              </w:rPr>
              <w:t>100000以上</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0.4</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200000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940+(200000-100000)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lang w:val="en-US" w:eastAsia="en-US" w:bidi="en-US"/>
              </w:rPr>
              <w:t xml:space="preserve">0.4% </w:t>
            </w:r>
            <w:r>
              <w:rPr>
                <w:rFonts w:hint="eastAsia" w:ascii="宋体" w:hAnsi="宋体" w:eastAsia="宋体" w:cs="宋体"/>
                <w:color w:val="000000"/>
                <w:spacing w:val="0"/>
                <w:w w:val="100"/>
                <w:position w:val="0"/>
                <w:sz w:val="28"/>
                <w:szCs w:val="28"/>
              </w:rPr>
              <w:t>= 1340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val="en-US" w:eastAsia="en-US" w:bidi="en-US"/>
              </w:rPr>
            </w:pPr>
          </w:p>
        </w:tc>
      </w:tr>
    </w:tbl>
    <w:p>
      <w:pPr>
        <w:numPr>
          <w:ilvl w:val="0"/>
          <w:numId w:val="0"/>
        </w:numPr>
        <w:tabs>
          <w:tab w:val="left" w:pos="312"/>
        </w:tabs>
        <w:spacing w:line="360" w:lineRule="auto"/>
        <w:rPr>
          <w:rFonts w:hint="eastAsia" w:ascii="Times New Roman"/>
          <w:color w:val="000000"/>
          <w:sz w:val="28"/>
          <w:szCs w:val="28"/>
          <w:lang w:val="en-US" w:eastAsia="zh-CN"/>
        </w:rPr>
      </w:pPr>
      <w:r>
        <w:rPr>
          <w:rFonts w:hint="eastAsia" w:ascii="Times New Roman"/>
          <w:color w:val="000000"/>
          <w:sz w:val="28"/>
          <w:szCs w:val="28"/>
          <w:lang w:val="en-US" w:eastAsia="zh-CN"/>
        </w:rPr>
        <w:t>注：将招标代理管理和报建管理内容纳入工程设计管理此项。</w:t>
      </w:r>
    </w:p>
    <w:p>
      <w:pPr>
        <w:numPr>
          <w:ilvl w:val="0"/>
          <w:numId w:val="0"/>
        </w:numPr>
        <w:spacing w:line="360" w:lineRule="auto"/>
        <w:ind w:firstLine="562" w:firstLineChars="200"/>
        <w:rPr>
          <w:rFonts w:hint="eastAsia" w:ascii="Times New Roman"/>
          <w:b/>
          <w:bCs/>
          <w:color w:val="000000"/>
          <w:sz w:val="28"/>
          <w:szCs w:val="28"/>
          <w:lang w:eastAsia="zh-CN"/>
        </w:rPr>
      </w:pPr>
      <w:r>
        <w:rPr>
          <w:rFonts w:hint="eastAsia" w:ascii="Times New Roman"/>
          <w:b/>
          <w:bCs/>
          <w:color w:val="000000"/>
          <w:sz w:val="28"/>
          <w:szCs w:val="28"/>
          <w:lang w:eastAsia="zh-CN"/>
        </w:rPr>
        <w:t>（四）施工项目管理服务</w:t>
      </w:r>
    </w:p>
    <w:p>
      <w:pPr>
        <w:overflowPunct w:val="0"/>
        <w:spacing w:line="360" w:lineRule="auto"/>
        <w:ind w:firstLine="562" w:firstLineChars="200"/>
        <w:rPr>
          <w:rFonts w:hint="eastAsia" w:ascii="宋体" w:hAnsi="宋体" w:cs="宋体"/>
          <w:b/>
          <w:bCs/>
          <w:color w:val="000000"/>
          <w:spacing w:val="0"/>
          <w:w w:val="100"/>
          <w:kern w:val="2"/>
          <w:position w:val="0"/>
          <w:sz w:val="28"/>
          <w:szCs w:val="28"/>
          <w:u w:val="none"/>
          <w:shd w:val="clear" w:color="auto" w:fill="auto"/>
          <w:lang w:val="zh-TW" w:eastAsia="zh-CN" w:bidi="zh-TW"/>
        </w:rPr>
      </w:pPr>
      <w:r>
        <w:rPr>
          <w:rFonts w:hint="eastAsia" w:ascii="宋体" w:hAnsi="宋体" w:cs="宋体"/>
          <w:b/>
          <w:bCs/>
          <w:color w:val="000000"/>
          <w:spacing w:val="0"/>
          <w:w w:val="100"/>
          <w:kern w:val="2"/>
          <w:position w:val="0"/>
          <w:sz w:val="28"/>
          <w:szCs w:val="28"/>
          <w:u w:val="none"/>
          <w:shd w:val="clear" w:color="auto" w:fill="auto"/>
          <w:lang w:val="en-US" w:eastAsia="zh-CN" w:bidi="zh-TW"/>
        </w:rPr>
        <w:t>1、</w:t>
      </w:r>
      <w:r>
        <w:rPr>
          <w:rFonts w:hint="eastAsia" w:ascii="宋体" w:hAnsi="宋体" w:cs="宋体"/>
          <w:b/>
          <w:bCs/>
          <w:color w:val="000000"/>
          <w:spacing w:val="0"/>
          <w:w w:val="100"/>
          <w:kern w:val="2"/>
          <w:position w:val="0"/>
          <w:sz w:val="28"/>
          <w:szCs w:val="28"/>
          <w:u w:val="none"/>
          <w:shd w:val="clear" w:color="auto" w:fill="auto"/>
          <w:lang w:val="zh-TW" w:eastAsia="zh-CN" w:bidi="zh-TW"/>
        </w:rPr>
        <w:t>主要工作内容：</w:t>
      </w:r>
    </w:p>
    <w:p>
      <w:pPr>
        <w:numPr>
          <w:ilvl w:val="0"/>
          <w:numId w:val="0"/>
        </w:numPr>
        <w:tabs>
          <w:tab w:val="left" w:pos="312"/>
        </w:tabs>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①根据项目建设全过程特点，进行建设项目管理策划，编制施工项目管理工作计划。施工项目管理工作计划由技术负责人审批后报送委托方。</w:t>
      </w:r>
    </w:p>
    <w:p>
      <w:pPr>
        <w:numPr>
          <w:ilvl w:val="0"/>
          <w:numId w:val="0"/>
        </w:numPr>
        <w:tabs>
          <w:tab w:val="left" w:pos="312"/>
        </w:tabs>
        <w:spacing w:line="360" w:lineRule="auto"/>
        <w:ind w:firstLine="560" w:firstLineChars="200"/>
        <w:rPr>
          <w:rFonts w:hint="eastAsia" w:ascii="Times New Roman"/>
          <w:color w:val="000000"/>
          <w:sz w:val="28"/>
          <w:szCs w:val="28"/>
          <w:lang w:val="en-US" w:eastAsia="zh-CN"/>
        </w:rPr>
      </w:pPr>
      <w:r>
        <w:rPr>
          <w:rFonts w:hint="eastAsia" w:ascii="Times New Roman"/>
          <w:color w:val="000000"/>
          <w:sz w:val="28"/>
          <w:szCs w:val="28"/>
          <w:lang w:val="en-US" w:eastAsia="zh-CN"/>
        </w:rPr>
        <w:t>②施工项目管理包括：施工项目管理规划大纲、管理组织机构及人员安排、管理责任制度落实，进行合同管理、进度管理、质量管理、成本管理、安全生产管理、参建各方和各专业沟通协调管理、资源管理、风险管理、工程竣工管理和绩效评定管理等。</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③</w:t>
      </w:r>
      <w:r>
        <w:rPr>
          <w:rFonts w:hint="eastAsia" w:ascii="宋体" w:hAnsi="宋体" w:cs="宋体"/>
          <w:color w:val="000000"/>
          <w:spacing w:val="0"/>
          <w:w w:val="100"/>
          <w:kern w:val="2"/>
          <w:position w:val="0"/>
          <w:sz w:val="28"/>
          <w:szCs w:val="28"/>
          <w:u w:val="none"/>
          <w:shd w:val="clear" w:color="auto" w:fill="auto"/>
          <w:lang w:val="zh-TW" w:eastAsia="zh-TW" w:bidi="zh-TW"/>
        </w:rPr>
        <w:t>施工项目管理服务工作计划内容应包括：工程概况、施工项目管理服务总体思路、施工项目管理服务组织机构及人员安排、合同管理、信息管理、质量管理、安全生产管理、进度管理、投资管理、风</w:t>
      </w:r>
      <w:r>
        <w:rPr>
          <w:rFonts w:hint="eastAsia" w:ascii="宋体" w:hAnsi="宋体" w:eastAsia="宋体" w:cs="宋体"/>
          <w:color w:val="000000"/>
          <w:spacing w:val="0"/>
          <w:w w:val="100"/>
          <w:kern w:val="2"/>
          <w:position w:val="0"/>
          <w:sz w:val="28"/>
          <w:szCs w:val="28"/>
          <w:u w:val="none"/>
          <w:shd w:val="clear" w:color="auto" w:fill="auto"/>
          <w:lang w:val="zh-TW" w:eastAsia="zh-TW" w:bidi="zh-TW"/>
        </w:rPr>
        <w:t>险管理等。</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④</w:t>
      </w:r>
      <w:r>
        <w:rPr>
          <w:rFonts w:hint="eastAsia" w:ascii="宋体" w:hAnsi="宋体" w:eastAsia="宋体" w:cs="宋体"/>
          <w:color w:val="000000"/>
          <w:spacing w:val="0"/>
          <w:w w:val="100"/>
          <w:kern w:val="2"/>
          <w:position w:val="0"/>
          <w:sz w:val="28"/>
          <w:szCs w:val="28"/>
          <w:u w:val="none"/>
          <w:shd w:val="clear" w:color="auto" w:fill="auto"/>
          <w:lang w:val="zh-TW" w:eastAsia="zh-TW" w:bidi="zh-TW"/>
        </w:rPr>
        <w:t>施工项目管理服务应以合同管理为主线，信息管理为支撑，组织协调为手段，协助委托方管理工程项目目标，保证工程项目有序实施。</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⑤</w:t>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应根据全过程工程咨询合同、施工合同要求和施工项目管理服务工作计划，编制项目总体进度计划及其分解计划、专业分包招标计划、委托方负责采购的材料设备进场计划等，并应采取有效措施分阶段进行落实。</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en-US" w:eastAsia="zh-CN" w:bidi="zh-TW"/>
        </w:rPr>
        <w:t xml:space="preserve"> </w:t>
      </w:r>
      <w:r>
        <w:rPr>
          <w:rFonts w:hint="eastAsia" w:ascii="宋体" w:hAnsi="宋体" w:cs="宋体"/>
          <w:color w:val="000000"/>
          <w:spacing w:val="0"/>
          <w:w w:val="100"/>
          <w:kern w:val="2"/>
          <w:position w:val="0"/>
          <w:sz w:val="28"/>
          <w:szCs w:val="28"/>
          <w:u w:val="none"/>
          <w:shd w:val="clear" w:color="auto" w:fill="auto"/>
          <w:lang w:val="zh-TW" w:eastAsia="zh-CN" w:bidi="zh-TW"/>
        </w:rPr>
        <w:t>⑥</w:t>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工程咨询方应建立完善的质量管理体系，并应协助委托方建立健全质量管理体系，督促工程参建各方主体落实质量管理人员、机构和制度，确保工程质量各方主体质量管理体系健全有效运行。</w:t>
      </w:r>
    </w:p>
    <w:p>
      <w:pPr>
        <w:overflowPunct w:val="0"/>
        <w:spacing w:line="360" w:lineRule="auto"/>
        <w:ind w:firstLine="560" w:firstLineChars="200"/>
        <w:rPr>
          <w:rFonts w:hint="eastAsia"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⑦</w:t>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工程咨询方应督促相关单位加强施工安全生产管理，并应协助委托方定期组织安全生产管理联合检查，监督施工单位安全文明措施费使用情况。</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⑧</w:t>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工程咨询方应督促施工单位按照施工合同要求编制和执行施工进度计划，并应监督施工单位对施工进度计划执行情况的定期检查和分析。</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⑨</w:t>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工程咨询方应编制资金使用计划，并应结合项目投资分解安排和总体进度计划协助委托方合理安排资金使用。</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en-US" w:eastAsia="zh-CN" w:bidi="zh-TW"/>
        </w:rPr>
        <w:t>⑩</w:t>
      </w:r>
      <w:r>
        <w:rPr>
          <w:rFonts w:hint="eastAsia" w:ascii="宋体" w:hAnsi="宋体" w:eastAsia="宋体" w:cs="宋体"/>
          <w:color w:val="000000"/>
          <w:spacing w:val="0"/>
          <w:w w:val="100"/>
          <w:kern w:val="2"/>
          <w:position w:val="0"/>
          <w:sz w:val="28"/>
          <w:szCs w:val="28"/>
          <w:u w:val="none"/>
          <w:shd w:val="clear" w:color="auto" w:fill="auto"/>
          <w:lang w:val="zh-TW" w:eastAsia="zh-TW" w:bidi="zh-TW"/>
        </w:rPr>
        <w:t>对于使用政府或国有资金的项目按规定需要进行审计的，工程咨询方可协助委托方协调工程审计单位全程介入，并应协助和配合工程审计单位的全过程审计工作。</w:t>
      </w:r>
    </w:p>
    <w:p>
      <w:pPr>
        <w:overflowPunct w:val="0"/>
        <w:spacing w:line="360" w:lineRule="auto"/>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Times New Roman"/>
          <w:color w:val="000000"/>
          <w:sz w:val="28"/>
          <w:szCs w:val="28"/>
          <w:lang w:val="en-US" w:eastAsia="zh-CN"/>
        </w:rPr>
        <w:t>　　⑪</w:t>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w:t>
      </w:r>
      <w:r>
        <w:rPr>
          <w:rFonts w:ascii="宋体" w:hAnsi="宋体" w:eastAsia="宋体" w:cs="宋体"/>
          <w:color w:val="000000"/>
          <w:spacing w:val="0"/>
          <w:w w:val="100"/>
          <w:kern w:val="2"/>
          <w:position w:val="0"/>
          <w:sz w:val="28"/>
          <w:szCs w:val="28"/>
          <w:u w:val="none"/>
          <w:shd w:val="clear" w:color="auto" w:fill="auto"/>
          <w:lang w:val="zh-TW" w:eastAsia="zh-TW" w:bidi="zh-TW"/>
        </w:rPr>
        <w:t>应</w:t>
      </w:r>
      <w:r>
        <w:rPr>
          <w:rFonts w:hint="eastAsia" w:ascii="宋体" w:hAnsi="宋体" w:eastAsia="宋体" w:cs="宋体"/>
          <w:color w:val="000000"/>
          <w:spacing w:val="0"/>
          <w:w w:val="100"/>
          <w:kern w:val="2"/>
          <w:position w:val="0"/>
          <w:sz w:val="28"/>
          <w:szCs w:val="28"/>
          <w:u w:val="none"/>
          <w:shd w:val="clear" w:color="auto" w:fill="auto"/>
          <w:lang w:val="zh-TW" w:eastAsia="zh-TW" w:bidi="zh-TW"/>
        </w:rPr>
        <w:t>根据施工合同</w:t>
      </w:r>
      <w:r>
        <w:rPr>
          <w:rFonts w:ascii="宋体" w:hAnsi="宋体" w:eastAsia="宋体" w:cs="宋体"/>
          <w:color w:val="000000"/>
          <w:spacing w:val="0"/>
          <w:w w:val="100"/>
          <w:kern w:val="2"/>
          <w:position w:val="0"/>
          <w:sz w:val="28"/>
          <w:szCs w:val="28"/>
          <w:u w:val="none"/>
          <w:shd w:val="clear" w:color="auto" w:fill="auto"/>
          <w:lang w:val="zh-TW" w:eastAsia="zh-TW" w:bidi="zh-TW"/>
        </w:rPr>
        <w:t>约定处理工程变更</w:t>
      </w:r>
      <w:r>
        <w:rPr>
          <w:rFonts w:hint="eastAsia" w:ascii="宋体" w:hAnsi="宋体" w:eastAsia="宋体" w:cs="宋体"/>
          <w:color w:val="000000"/>
          <w:spacing w:val="0"/>
          <w:w w:val="100"/>
          <w:kern w:val="2"/>
          <w:position w:val="0"/>
          <w:sz w:val="28"/>
          <w:szCs w:val="28"/>
          <w:u w:val="none"/>
          <w:shd w:val="clear" w:color="auto" w:fill="auto"/>
          <w:lang w:val="zh-TW" w:eastAsia="zh-TW" w:bidi="zh-TW"/>
        </w:rPr>
        <w:t>和</w:t>
      </w:r>
      <w:r>
        <w:rPr>
          <w:rFonts w:ascii="宋体" w:hAnsi="宋体" w:eastAsia="宋体" w:cs="宋体"/>
          <w:color w:val="000000"/>
          <w:spacing w:val="0"/>
          <w:w w:val="100"/>
          <w:kern w:val="2"/>
          <w:position w:val="0"/>
          <w:sz w:val="28"/>
          <w:szCs w:val="28"/>
          <w:u w:val="none"/>
          <w:shd w:val="clear" w:color="auto" w:fill="auto"/>
          <w:lang w:val="zh-TW" w:eastAsia="zh-TW" w:bidi="zh-TW"/>
        </w:rPr>
        <w:t>索赔</w:t>
      </w:r>
      <w:r>
        <w:rPr>
          <w:rFonts w:hint="eastAsia" w:ascii="宋体" w:hAnsi="宋体" w:eastAsia="宋体" w:cs="宋体"/>
          <w:color w:val="000000"/>
          <w:spacing w:val="0"/>
          <w:w w:val="100"/>
          <w:kern w:val="2"/>
          <w:position w:val="0"/>
          <w:sz w:val="28"/>
          <w:szCs w:val="28"/>
          <w:u w:val="none"/>
          <w:shd w:val="clear" w:color="auto" w:fill="auto"/>
          <w:lang w:val="zh-TW" w:eastAsia="zh-TW" w:bidi="zh-TW"/>
        </w:rPr>
        <w:t>事宜，并</w:t>
      </w:r>
      <w:r>
        <w:rPr>
          <w:rFonts w:ascii="宋体" w:hAnsi="宋体" w:eastAsia="宋体" w:cs="宋体"/>
          <w:color w:val="000000"/>
          <w:spacing w:val="0"/>
          <w:w w:val="100"/>
          <w:kern w:val="2"/>
          <w:position w:val="0"/>
          <w:sz w:val="28"/>
          <w:szCs w:val="28"/>
          <w:u w:val="none"/>
          <w:shd w:val="clear" w:color="auto" w:fill="auto"/>
          <w:lang w:val="zh-TW" w:eastAsia="zh-TW" w:bidi="zh-TW"/>
        </w:rPr>
        <w:t>应</w:t>
      </w:r>
      <w:r>
        <w:rPr>
          <w:rFonts w:hint="eastAsia" w:ascii="宋体" w:hAnsi="宋体" w:eastAsia="宋体" w:cs="宋体"/>
          <w:color w:val="000000"/>
          <w:spacing w:val="0"/>
          <w:w w:val="100"/>
          <w:kern w:val="2"/>
          <w:position w:val="0"/>
          <w:sz w:val="28"/>
          <w:szCs w:val="28"/>
          <w:u w:val="none"/>
          <w:shd w:val="clear" w:color="auto" w:fill="auto"/>
          <w:lang w:val="zh-TW" w:eastAsia="zh-TW" w:bidi="zh-TW"/>
        </w:rPr>
        <w:t>组织审查施工单位提交的竣工结算申请，还可协助委托方编制工程竣工决算。</w:t>
      </w:r>
    </w:p>
    <w:p>
      <w:pPr>
        <w:overflowPunct w:val="0"/>
        <w:spacing w:line="360" w:lineRule="auto"/>
        <w:ind w:firstLine="48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Times New Roman" w:hAnsi="Calibri" w:eastAsia="宋体" w:cs="Times New Roman"/>
          <w:color w:val="000000"/>
          <w:kern w:val="2"/>
          <w:sz w:val="24"/>
          <w:szCs w:val="24"/>
          <w:lang w:val="en-US" w:eastAsia="zh-CN"/>
        </w:rPr>
        <w:fldChar w:fldCharType="begin"/>
      </w:r>
      <w:r>
        <w:rPr>
          <w:rFonts w:hint="eastAsia" w:ascii="Times New Roman" w:hAnsi="Calibri" w:eastAsia="宋体" w:cs="Times New Roman"/>
          <w:color w:val="000000"/>
          <w:kern w:val="2"/>
          <w:sz w:val="24"/>
          <w:szCs w:val="24"/>
          <w:lang w:val="en-US" w:eastAsia="zh-CN"/>
        </w:rPr>
        <w:instrText xml:space="preserve"> EQ \o\ac(</w:instrText>
      </w:r>
      <w:r>
        <w:rPr>
          <w:rFonts w:hint="eastAsia" w:ascii="Times New Roman" w:hAnsi="Calibri" w:eastAsia="宋体" w:cs="Times New Roman"/>
          <w:color w:val="000000"/>
          <w:kern w:val="2"/>
          <w:position w:val="-4"/>
          <w:sz w:val="36"/>
          <w:szCs w:val="24"/>
          <w:lang w:val="en-US" w:eastAsia="zh-CN"/>
        </w:rPr>
        <w:instrText xml:space="preserve">○</w:instrText>
      </w:r>
      <w:r>
        <w:rPr>
          <w:rFonts w:hint="eastAsia" w:ascii="Times New Roman" w:hAnsi="Calibri" w:eastAsia="宋体" w:cs="Times New Roman"/>
          <w:color w:val="000000"/>
          <w:kern w:val="2"/>
          <w:position w:val="0"/>
          <w:sz w:val="24"/>
          <w:szCs w:val="24"/>
          <w:lang w:val="en-US" w:eastAsia="zh-CN"/>
        </w:rPr>
        <w:instrText xml:space="preserve">,12)</w:instrText>
      </w:r>
      <w:r>
        <w:rPr>
          <w:rFonts w:hint="eastAsia" w:ascii="Times New Roman" w:hAnsi="Calibri" w:eastAsia="宋体" w:cs="Times New Roman"/>
          <w:color w:val="000000"/>
          <w:kern w:val="2"/>
          <w:sz w:val="24"/>
          <w:szCs w:val="24"/>
          <w:lang w:val="en-US" w:eastAsia="zh-CN"/>
        </w:rPr>
        <w:fldChar w:fldCharType="end"/>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工程咨询方应协助委托方与施工单位签订工程质量保修合同，并督促施工单位履行工程质量保修合同。</w:t>
      </w:r>
    </w:p>
    <w:p>
      <w:pPr>
        <w:numPr>
          <w:ilvl w:val="0"/>
          <w:numId w:val="0"/>
        </w:numPr>
        <w:spacing w:line="360" w:lineRule="auto"/>
        <w:ind w:firstLine="562" w:firstLineChars="200"/>
        <w:rPr>
          <w:rFonts w:hint="eastAsia" w:ascii="Times New Roman"/>
          <w:color w:val="000000"/>
          <w:sz w:val="28"/>
          <w:szCs w:val="28"/>
          <w:lang w:val="en-US" w:eastAsia="zh-CN"/>
        </w:rPr>
      </w:pPr>
      <w:r>
        <w:rPr>
          <w:rFonts w:hint="eastAsia" w:ascii="Times New Roman" w:cs="Times New Roman"/>
          <w:b/>
          <w:bCs/>
          <w:color w:val="000000"/>
          <w:sz w:val="28"/>
          <w:szCs w:val="28"/>
          <w:lang w:val="en-US" w:eastAsia="zh-CN"/>
        </w:rPr>
        <w:t>2、收费标准：</w:t>
      </w:r>
      <w:r>
        <w:rPr>
          <w:rFonts w:hint="eastAsia" w:ascii="Times New Roman" w:cs="Times New Roman"/>
          <w:color w:val="000000"/>
          <w:sz w:val="28"/>
          <w:szCs w:val="28"/>
          <w:lang w:val="en-US" w:eastAsia="zh-CN"/>
        </w:rPr>
        <w:t>参考《</w:t>
      </w:r>
      <w:r>
        <w:rPr>
          <w:rFonts w:hint="eastAsia" w:ascii="Times New Roman"/>
          <w:color w:val="000000"/>
          <w:sz w:val="28"/>
          <w:szCs w:val="28"/>
          <w:lang w:val="en-US" w:eastAsia="zh-CN"/>
        </w:rPr>
        <w:t>财建[2016]504号</w:t>
      </w:r>
      <w:r>
        <w:rPr>
          <w:rFonts w:hint="eastAsia" w:ascii="Times New Roman" w:cs="Times New Roman"/>
          <w:color w:val="000000"/>
          <w:sz w:val="28"/>
          <w:szCs w:val="28"/>
          <w:lang w:val="en-US" w:eastAsia="zh-CN"/>
        </w:rPr>
        <w:t>》的建设管理费，</w:t>
      </w:r>
      <w:r>
        <w:rPr>
          <w:rFonts w:hint="eastAsia" w:ascii="Times New Roman"/>
          <w:color w:val="000000"/>
          <w:sz w:val="28"/>
          <w:szCs w:val="28"/>
          <w:lang w:val="en-US" w:eastAsia="zh-CN"/>
        </w:rPr>
        <w:t>投资决策综合性管理（暂定15~20%）、勘察管理（暂定10~15%）、设计管理（暂定25~30%）、施工项目管理（暂定50~35%）比例分配，总计100%。</w:t>
      </w:r>
    </w:p>
    <w:tbl>
      <w:tblPr>
        <w:tblStyle w:val="5"/>
        <w:tblW w:w="10733" w:type="dxa"/>
        <w:tblInd w:w="-1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850"/>
        <w:gridCol w:w="1333"/>
        <w:gridCol w:w="1600"/>
        <w:gridCol w:w="4762"/>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exact"/>
        </w:trPr>
        <w:tc>
          <w:tcPr>
            <w:tcW w:w="1850"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cs="宋体"/>
                <w:color w:val="000000"/>
                <w:spacing w:val="0"/>
                <w:w w:val="100"/>
                <w:position w:val="0"/>
                <w:sz w:val="28"/>
                <w:szCs w:val="28"/>
                <w:lang w:eastAsia="zh-CN"/>
              </w:rPr>
            </w:pPr>
            <w:r>
              <w:rPr>
                <w:rFonts w:hint="eastAsia" w:ascii="宋体" w:hAnsi="宋体" w:eastAsia="宋体" w:cs="宋体"/>
                <w:color w:val="000000"/>
                <w:spacing w:val="0"/>
                <w:w w:val="100"/>
                <w:position w:val="0"/>
                <w:sz w:val="28"/>
                <w:szCs w:val="28"/>
              </w:rPr>
              <w:t>工程总</w:t>
            </w:r>
            <w:r>
              <w:rPr>
                <w:rFonts w:hint="eastAsia" w:ascii="宋体" w:hAnsi="宋体" w:cs="宋体"/>
                <w:color w:val="000000"/>
                <w:spacing w:val="0"/>
                <w:w w:val="100"/>
                <w:position w:val="0"/>
                <w:sz w:val="28"/>
                <w:szCs w:val="28"/>
                <w:lang w:eastAsia="zh-CN"/>
              </w:rPr>
              <w:t>概算</w:t>
            </w:r>
          </w:p>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8"/>
                <w:szCs w:val="28"/>
                <w:lang w:eastAsia="zh-CN"/>
              </w:rPr>
            </w:pPr>
            <w:r>
              <w:rPr>
                <w:rFonts w:hint="eastAsia" w:ascii="宋体" w:hAnsi="宋体" w:cs="宋体"/>
                <w:color w:val="000000"/>
                <w:spacing w:val="0"/>
                <w:w w:val="100"/>
                <w:position w:val="0"/>
                <w:sz w:val="28"/>
                <w:szCs w:val="28"/>
                <w:lang w:eastAsia="zh-CN"/>
              </w:rPr>
              <w:t>（万元）</w:t>
            </w:r>
          </w:p>
        </w:tc>
        <w:tc>
          <w:tcPr>
            <w:tcW w:w="1333"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费率（%）</w:t>
            </w:r>
          </w:p>
        </w:tc>
        <w:tc>
          <w:tcPr>
            <w:tcW w:w="6362" w:type="dxa"/>
            <w:gridSpan w:val="2"/>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算例</w:t>
            </w:r>
          </w:p>
        </w:tc>
        <w:tc>
          <w:tcPr>
            <w:tcW w:w="1188"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lang w:eastAsia="zh-CN"/>
              </w:rPr>
            </w:pPr>
            <w:r>
              <w:rPr>
                <w:rFonts w:hint="eastAsia" w:ascii="宋体" w:hAnsi="宋体" w:cs="宋体"/>
                <w:color w:val="000000"/>
                <w:spacing w:val="0"/>
                <w:w w:val="100"/>
                <w:position w:val="0"/>
                <w:sz w:val="28"/>
                <w:szCs w:val="28"/>
                <w:lang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2" w:hRule="exact"/>
        </w:trPr>
        <w:tc>
          <w:tcPr>
            <w:tcW w:w="1850" w:type="dxa"/>
            <w:vMerge w:val="continue"/>
            <w:shd w:val="clear" w:color="auto" w:fill="FFFFFF"/>
            <w:vAlign w:val="center"/>
          </w:tcPr>
          <w:p>
            <w:pPr>
              <w:rPr>
                <w:rFonts w:hint="eastAsia" w:ascii="宋体" w:hAnsi="宋体" w:eastAsia="宋体" w:cs="宋体"/>
                <w:sz w:val="28"/>
                <w:szCs w:val="28"/>
              </w:rPr>
            </w:pPr>
          </w:p>
        </w:tc>
        <w:tc>
          <w:tcPr>
            <w:tcW w:w="1333" w:type="dxa"/>
            <w:vMerge w:val="continue"/>
            <w:shd w:val="clear" w:color="auto" w:fill="FFFFFF"/>
            <w:vAlign w:val="center"/>
          </w:tcPr>
          <w:p>
            <w:pPr>
              <w:rPr>
                <w:rFonts w:hint="eastAsia" w:ascii="宋体" w:hAnsi="宋体" w:eastAsia="宋体" w:cs="宋体"/>
                <w:sz w:val="28"/>
                <w:szCs w:val="28"/>
              </w:rPr>
            </w:pP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工程总概算</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eastAsia="zh-CN"/>
              </w:rPr>
            </w:pPr>
            <w:r>
              <w:rPr>
                <w:rFonts w:hint="eastAsia"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rPr>
              <w:t>项目建设管理费</w:t>
            </w:r>
            <w:r>
              <w:rPr>
                <w:rFonts w:hint="eastAsia" w:ascii="宋体" w:hAnsi="宋体" w:cs="宋体"/>
                <w:color w:val="000000"/>
                <w:spacing w:val="0"/>
                <w:w w:val="100"/>
                <w:position w:val="0"/>
                <w:sz w:val="28"/>
                <w:szCs w:val="28"/>
                <w:lang w:eastAsia="zh-CN"/>
              </w:rPr>
              <w:t>（万元）</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1"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zh-CN"/>
              </w:rPr>
              <w:t>1</w:t>
            </w:r>
            <w:r>
              <w:rPr>
                <w:rFonts w:hint="eastAsia" w:ascii="宋体" w:hAnsi="宋体" w:eastAsia="宋体" w:cs="宋体"/>
                <w:color w:val="000000"/>
                <w:spacing w:val="0"/>
                <w:w w:val="100"/>
                <w:position w:val="0"/>
                <w:sz w:val="28"/>
                <w:szCs w:val="28"/>
              </w:rPr>
              <w:t>000以下</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w:t>
            </w:r>
            <w:r>
              <w:rPr>
                <w:rFonts w:hint="eastAsia" w:ascii="宋体" w:hAnsi="宋体" w:eastAsia="宋体" w:cs="宋体"/>
                <w:color w:val="000000"/>
                <w:spacing w:val="0"/>
                <w:w w:val="100"/>
                <w:position w:val="0"/>
                <w:sz w:val="28"/>
                <w:szCs w:val="28"/>
                <w:lang w:val="en-US" w:eastAsia="zh-CN"/>
              </w:rPr>
              <w:t>0</w:t>
            </w:r>
            <w:r>
              <w:rPr>
                <w:rFonts w:hint="eastAsia" w:ascii="宋体" w:hAnsi="宋体" w:eastAsia="宋体" w:cs="宋体"/>
                <w:color w:val="000000"/>
                <w:spacing w:val="0"/>
                <w:w w:val="100"/>
                <w:position w:val="0"/>
                <w:sz w:val="28"/>
                <w:szCs w:val="28"/>
              </w:rPr>
              <w:t>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rPr>
              <w:t>2% = 20</w:t>
            </w:r>
          </w:p>
        </w:tc>
        <w:tc>
          <w:tcPr>
            <w:tcW w:w="1188" w:type="dxa"/>
            <w:vMerge w:val="restart"/>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spacing w:val="0"/>
                <w:w w:val="100"/>
                <w:position w:val="0"/>
                <w:sz w:val="28"/>
                <w:szCs w:val="28"/>
                <w:lang w:val="en-US" w:eastAsia="zh-CN"/>
              </w:rPr>
            </w:pPr>
            <w:r>
              <w:rPr>
                <w:rFonts w:hint="eastAsia" w:ascii="宋体" w:hAnsi="宋体" w:cs="宋体"/>
                <w:color w:val="000000"/>
                <w:spacing w:val="0"/>
                <w:w w:val="100"/>
                <w:position w:val="0"/>
                <w:sz w:val="28"/>
                <w:szCs w:val="28"/>
                <w:lang w:val="en-US" w:eastAsia="zh-CN"/>
              </w:rPr>
              <w:t>50-35%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1"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1001-5000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1.5</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5000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29+(5000-1000)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lang w:val="en-US" w:eastAsia="en-US" w:bidi="en-US"/>
              </w:rPr>
              <w:t xml:space="preserve">l.5% </w:t>
            </w:r>
            <w:r>
              <w:rPr>
                <w:rFonts w:hint="eastAsia" w:ascii="宋体" w:hAnsi="宋体" w:eastAsia="宋体" w:cs="宋体"/>
                <w:color w:val="000000"/>
                <w:spacing w:val="0"/>
                <w:w w:val="100"/>
                <w:position w:val="0"/>
                <w:sz w:val="28"/>
                <w:szCs w:val="28"/>
              </w:rPr>
              <w:t>= 80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5001-10000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1.2</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80+(10000-5000)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rPr>
              <w:t>1.2% = 140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w:t>
            </w:r>
            <w:r>
              <w:rPr>
                <w:rFonts w:hint="eastAsia" w:ascii="宋体" w:hAnsi="宋体" w:eastAsia="宋体" w:cs="宋体"/>
                <w:color w:val="000000"/>
                <w:spacing w:val="0"/>
                <w:w w:val="100"/>
                <w:position w:val="0"/>
                <w:sz w:val="28"/>
                <w:szCs w:val="28"/>
                <w:lang w:val="en-US" w:eastAsia="en-US" w:bidi="en-US"/>
              </w:rPr>
              <w:t>1-50000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50000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140+(</w:t>
            </w:r>
            <w:r>
              <w:rPr>
                <w:rFonts w:hint="eastAsia" w:ascii="宋体" w:hAnsi="宋体" w:eastAsia="宋体" w:cs="宋体"/>
                <w:color w:val="000000"/>
                <w:spacing w:val="0"/>
                <w:w w:val="100"/>
                <w:position w:val="0"/>
                <w:sz w:val="28"/>
                <w:szCs w:val="28"/>
                <w:lang w:val="en-US" w:eastAsia="en-US" w:bidi="en-US"/>
              </w:rPr>
              <w:t>50000-10000)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rPr>
              <w:t>1% = 540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50001-100000</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0.8</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100000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540+(</w:t>
            </w:r>
            <w:r>
              <w:rPr>
                <w:rFonts w:hint="eastAsia" w:ascii="宋体" w:hAnsi="宋体" w:eastAsia="宋体" w:cs="宋体"/>
                <w:color w:val="000000"/>
                <w:spacing w:val="0"/>
                <w:w w:val="100"/>
                <w:position w:val="0"/>
                <w:sz w:val="28"/>
                <w:szCs w:val="28"/>
                <w:lang w:val="en-US" w:eastAsia="en-US" w:bidi="en-US"/>
              </w:rPr>
              <w:t>100000-50000)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lang w:val="en-US" w:eastAsia="en-US" w:bidi="en-US"/>
              </w:rPr>
              <w:t xml:space="preserve">0.8% </w:t>
            </w:r>
            <w:r>
              <w:rPr>
                <w:rFonts w:hint="eastAsia" w:ascii="宋体" w:hAnsi="宋体" w:eastAsia="宋体" w:cs="宋体"/>
                <w:color w:val="000000"/>
                <w:spacing w:val="0"/>
                <w:w w:val="100"/>
                <w:position w:val="0"/>
                <w:sz w:val="28"/>
                <w:szCs w:val="28"/>
              </w:rPr>
              <w:t>= 940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5" w:hRule="exact"/>
        </w:trPr>
        <w:tc>
          <w:tcPr>
            <w:tcW w:w="18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lang w:val="en-US" w:eastAsia="zh-CN"/>
              </w:rPr>
            </w:pPr>
            <w:r>
              <w:rPr>
                <w:rFonts w:hint="eastAsia" w:ascii="宋体" w:hAnsi="宋体" w:eastAsia="宋体" w:cs="宋体"/>
                <w:color w:val="000000"/>
                <w:spacing w:val="0"/>
                <w:w w:val="100"/>
                <w:position w:val="0"/>
                <w:sz w:val="28"/>
                <w:szCs w:val="28"/>
                <w:lang w:val="en-US" w:eastAsia="zh-CN" w:bidi="en-US"/>
              </w:rPr>
              <w:t>100000以上</w:t>
            </w:r>
          </w:p>
        </w:tc>
        <w:tc>
          <w:tcPr>
            <w:tcW w:w="13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0.4</w:t>
            </w:r>
          </w:p>
        </w:tc>
        <w:tc>
          <w:tcPr>
            <w:tcW w:w="16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200000</w:t>
            </w:r>
          </w:p>
        </w:tc>
        <w:tc>
          <w:tcPr>
            <w:tcW w:w="4762"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en-US" w:bidi="en-US"/>
              </w:rPr>
              <w:t>940+(200000-100000)</w:t>
            </w:r>
            <w:r>
              <w:rPr>
                <w:rFonts w:hint="eastAsia" w:ascii="宋体" w:hAnsi="宋体" w:eastAsia="宋体"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lang w:val="en-US" w:eastAsia="en-US" w:bidi="en-US"/>
              </w:rPr>
              <w:t xml:space="preserve">0.4% </w:t>
            </w:r>
            <w:r>
              <w:rPr>
                <w:rFonts w:hint="eastAsia" w:ascii="宋体" w:hAnsi="宋体" w:eastAsia="宋体" w:cs="宋体"/>
                <w:color w:val="000000"/>
                <w:spacing w:val="0"/>
                <w:w w:val="100"/>
                <w:position w:val="0"/>
                <w:sz w:val="28"/>
                <w:szCs w:val="28"/>
              </w:rPr>
              <w:t>= 1340</w:t>
            </w:r>
          </w:p>
        </w:tc>
        <w:tc>
          <w:tcPr>
            <w:tcW w:w="1188" w:type="dxa"/>
            <w:vMerge w:val="continue"/>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lang w:val="en-US" w:eastAsia="en-US" w:bidi="en-US"/>
              </w:rPr>
            </w:pPr>
          </w:p>
        </w:tc>
      </w:tr>
    </w:tbl>
    <w:p>
      <w:pPr>
        <w:numPr>
          <w:ilvl w:val="0"/>
          <w:numId w:val="0"/>
        </w:numPr>
        <w:tabs>
          <w:tab w:val="left" w:pos="312"/>
        </w:tabs>
        <w:spacing w:line="360" w:lineRule="auto"/>
        <w:rPr>
          <w:rFonts w:hint="eastAsia" w:ascii="Times New Roman"/>
          <w:color w:val="000000"/>
          <w:sz w:val="28"/>
          <w:szCs w:val="28"/>
          <w:lang w:val="en-US" w:eastAsia="zh-CN"/>
        </w:rPr>
      </w:pPr>
      <w:r>
        <w:rPr>
          <w:rFonts w:hint="eastAsia" w:ascii="Times New Roman"/>
          <w:color w:val="000000"/>
          <w:sz w:val="28"/>
          <w:szCs w:val="28"/>
          <w:lang w:val="en-US" w:eastAsia="zh-CN"/>
        </w:rPr>
        <w:t>注：将造价管理内容纳入施工项目管理服务此项。</w:t>
      </w:r>
    </w:p>
    <w:p>
      <w:pPr>
        <w:spacing w:line="360" w:lineRule="auto"/>
        <w:ind w:firstLine="602" w:firstLineChars="200"/>
        <w:rPr>
          <w:rFonts w:hint="eastAsia" w:ascii="Times New Roman"/>
          <w:b/>
          <w:bCs/>
          <w:color w:val="000000" w:themeColor="text1"/>
          <w:sz w:val="30"/>
          <w:szCs w:val="30"/>
          <w:lang w:eastAsia="zh-CN"/>
          <w14:textFill>
            <w14:solidFill>
              <w14:schemeClr w14:val="tx1"/>
            </w14:solidFill>
          </w14:textFill>
        </w:rPr>
      </w:pPr>
      <w:r>
        <w:rPr>
          <w:rFonts w:hint="eastAsia" w:ascii="Times New Roman"/>
          <w:b/>
          <w:bCs/>
          <w:color w:val="000000" w:themeColor="text1"/>
          <w:sz w:val="30"/>
          <w:szCs w:val="30"/>
          <w:lang w:eastAsia="zh-CN"/>
          <w14:textFill>
            <w14:solidFill>
              <w14:schemeClr w14:val="tx1"/>
            </w14:solidFill>
          </w14:textFill>
        </w:rPr>
        <w:t>二、投资决策阶段技术</w:t>
      </w:r>
      <w:r>
        <w:rPr>
          <w:rFonts w:hint="eastAsia" w:ascii="Times New Roman"/>
          <w:b/>
          <w:bCs/>
          <w:color w:val="000000" w:themeColor="text1"/>
          <w:sz w:val="30"/>
          <w:szCs w:val="30"/>
          <w:lang w:val="en-US" w:eastAsia="zh-CN"/>
          <w14:textFill>
            <w14:solidFill>
              <w14:schemeClr w14:val="tx1"/>
            </w14:solidFill>
          </w14:textFill>
        </w:rPr>
        <w:t>咨询</w:t>
      </w:r>
    </w:p>
    <w:p>
      <w:pPr>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（一）投资策划咨询</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①工程咨询方根据投资方的委托，结合项目所在地规划、产业政策、投资条件、市场状况等开展投资策划咨询，提供投资机会研究成果。</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②投资机会研究是进行可行性研究前的准备性调查研究，通过对政治、环境的分析来寻找投资机会、识别投资方向、选定投资项目，作为投资方内部决策使用。</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③工程咨询方结合投资方委托情况，开展一般机会研究和特定项目机会研究。一般机会研究又可分为地区机会研究、行业机会研究等。特定项目机会研究是针对具体投资项目开展的机会研究。</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2、收费标准：双方协定。</w:t>
      </w:r>
    </w:p>
    <w:p>
      <w:pPr>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（二）可行性研究</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①可行性研究是投资决策综合性咨询服务的核心内容。工程咨询方根据投资方的委托，分析论述影响项目落地、实施、运营的各项因素，支撑投资方内部决策。</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②可行性研究内容和深度应达到可行性研究报告、建设条件单项咨询相应的规定要求，必须满足决策者“定方案”</w:t>
      </w:r>
      <w:r>
        <w:rPr>
          <w:rFonts w:hint="eastAsia" w:ascii="Times New Roman" w:cs="Times New Roman"/>
          <w:color w:val="000000" w:themeColor="text1"/>
          <w:kern w:val="2"/>
          <w:sz w:val="28"/>
          <w:szCs w:val="28"/>
          <w:lang w:val="en-US" w:eastAsia="zh-CN"/>
          <w14:textFill>
            <w14:solidFill>
              <w14:schemeClr w14:val="tx1"/>
            </w14:solidFill>
          </w14:textFill>
        </w:rPr>
        <w:t>、</w:t>
      </w: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定项目”的要求。鼓励将国家法律法规、行政审批中要求的可行性研究报告报批前必须完成的建设条件单项咨询纳入可行性研究统筹论证。鼓励将开工前必须完成的其他建设条件单项咨询主要内容纳入可行性研究统筹论证。</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在可行性研究的基础上，工程咨询方按照建设项目分类管理要求编制形成相应申报材料。政府投资项目应按照规定要求，编制形成项目建议书、可行性研究报告、初步设计等。企业投资项目应按照规定要求和投资方需求，编制形成项目申请报告、资金申请报告等。工程咨询方也可以根据投资方的要求承担咨询评估任务，提出咨询评估意见。</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zh-TW" w:eastAsia="zh-TW"/>
          <w14:textFill>
            <w14:solidFill>
              <w14:schemeClr w14:val="tx1"/>
            </w14:solidFill>
          </w14:textFill>
        </w:rPr>
      </w:pPr>
      <w:r>
        <w:rPr>
          <w:rFonts w:hint="eastAsia" w:ascii="Times New Roman" w:hAnsi="Calibri" w:eastAsia="宋体" w:cs="Times New Roman"/>
          <w:color w:val="000000" w:themeColor="text1"/>
          <w:kern w:val="2"/>
          <w:sz w:val="28"/>
          <w:szCs w:val="28"/>
          <w:lang w:val="zh-TW" w:eastAsia="zh-CN"/>
          <w14:textFill>
            <w14:solidFill>
              <w14:schemeClr w14:val="tx1"/>
            </w14:solidFill>
          </w14:textFill>
        </w:rPr>
        <w:t>④</w:t>
      </w: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项目建议书是政府投资项目立项的重要依据，主要论证项目建设的必要性，并对主要建设内容、拟建地点、拟建规模、投资匡算、资金筹措以及社会效益和经济效益等进行初步分析，并附相关文件资料。项目建议书的编制格式、内容和深度应达到规定要求。</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zh-TW" w:eastAsia="zh-CN"/>
          <w14:textFill>
            <w14:solidFill>
              <w14:schemeClr w14:val="tx1"/>
            </w14:solidFill>
          </w14:textFill>
        </w:rPr>
        <w:t>⑤</w:t>
      </w: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可行性研究报告是政府投资项目审批决策的重要依据，重点分析项目的技术经济可行性、社会效益以及项目资金等主要建设条件的落实情况，应提供多种建设方案比选，提出项目建设必要性、可行性和合理性的研究结论。可行性研究报告的编制格式、内容和深度应达到规定要求。</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宋体" w:hAnsi="宋体" w:cs="宋体"/>
          <w:color w:val="000000" w:themeColor="text1"/>
          <w:spacing w:val="0"/>
          <w:w w:val="100"/>
          <w:kern w:val="2"/>
          <w:position w:val="0"/>
          <w:sz w:val="28"/>
          <w:szCs w:val="28"/>
          <w:u w:val="none"/>
          <w:shd w:val="clear" w:color="auto" w:fill="auto"/>
          <w:lang w:val="en-US" w:eastAsia="zh-CN" w:bidi="zh-TW"/>
          <w14:textFill>
            <w14:solidFill>
              <w14:schemeClr w14:val="tx1"/>
            </w14:solidFill>
          </w14:textFill>
        </w:rPr>
        <w:t xml:space="preserve"> </w:t>
      </w:r>
      <w:r>
        <w:rPr>
          <w:rFonts w:hint="eastAsia" w:ascii="Times New Roman" w:hAnsi="Calibri" w:eastAsia="宋体" w:cs="Times New Roman"/>
          <w:color w:val="000000" w:themeColor="text1"/>
          <w:kern w:val="2"/>
          <w:sz w:val="28"/>
          <w:szCs w:val="28"/>
          <w:lang w:val="zh-TW" w:eastAsia="zh-CN"/>
          <w14:textFill>
            <w14:solidFill>
              <w14:schemeClr w14:val="tx1"/>
            </w14:solidFill>
          </w14:textFill>
        </w:rPr>
        <w:t>⑥</w:t>
      </w: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项目申请报告是企业投资项目核准的重要依据，主要分析项目外部性、公共性影响，重点针对规划和政策符合性、资源环境和节能、用地和征地拆迁、经济和社会影响等方面深入分析，并附相关文件资料。项目申请报告编制格式、内容和深度应当达到规定要求。</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zh-TW" w:eastAsia="zh-CN"/>
          <w14:textFill>
            <w14:solidFill>
              <w14:schemeClr w14:val="tx1"/>
            </w14:solidFill>
          </w14:textFill>
        </w:rPr>
        <w:t>⑦</w:t>
      </w: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资金申请报告是申请政府专项资金支持的重要依据，主要阐述资金申请的必要性和合理性，重点就建设条件落实情况，项目列入三年滚动投资计划并通过在线平台完成审批（核准、备案）情况，以及申请投资补助或者贴息资金的主要理由和政策依据等方面进行深入分析，并附相关文件资料。资金申请报告编制格式、内容和深度应当达到规定要求。</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zh-TW" w:eastAsia="zh-TW"/>
          <w14:textFill>
            <w14:solidFill>
              <w14:schemeClr w14:val="tx1"/>
            </w14:solidFill>
          </w14:textFill>
        </w:rPr>
      </w:pPr>
      <w:r>
        <w:rPr>
          <w:rFonts w:hint="eastAsia" w:ascii="Times New Roman" w:hAnsi="Calibri" w:eastAsia="宋体" w:cs="Times New Roman"/>
          <w:color w:val="000000" w:themeColor="text1"/>
          <w:kern w:val="2"/>
          <w:sz w:val="28"/>
          <w:szCs w:val="28"/>
          <w:lang w:val="zh-TW" w:eastAsia="zh-CN"/>
          <w14:textFill>
            <w14:solidFill>
              <w14:schemeClr w14:val="tx1"/>
            </w14:solidFill>
          </w14:textFill>
        </w:rPr>
        <w:t>⑧</w:t>
      </w: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工程咨询方应当协助投资方，将编制形成的申报材料按照投资管理权限和规定的程序，报投资主管部门或者其他有关部门审批、核准或备案。除涉及国家秘密的项目外，应按照规定要求通过投资项目在线审批监管平台生成的项目代码进行申报。</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zh-TW" w:eastAsia="zh-TW"/>
          <w14:textFill>
            <w14:solidFill>
              <w14:schemeClr w14:val="tx1"/>
            </w14:solidFill>
          </w14:textFill>
        </w:rPr>
      </w:pPr>
      <w:r>
        <w:rPr>
          <w:rFonts w:hint="eastAsia" w:ascii="Times New Roman" w:hAnsi="Calibri" w:eastAsia="宋体" w:cs="Times New Roman"/>
          <w:color w:val="000000" w:themeColor="text1"/>
          <w:kern w:val="2"/>
          <w:sz w:val="28"/>
          <w:szCs w:val="28"/>
          <w:lang w:val="zh-TW" w:eastAsia="zh-CN"/>
          <w14:textFill>
            <w14:solidFill>
              <w14:schemeClr w14:val="tx1"/>
            </w14:solidFill>
          </w14:textFill>
        </w:rPr>
        <w:t>⑨</w:t>
      </w: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纳入可行性研究的相关建设条件单项咨询，鼓励以可行性研究报告进行报批，也可以提交单项申报材料进行报批。单独开展的单项咨询结论应当与可行性研究报告相关内容保持一致。</w:t>
      </w:r>
    </w:p>
    <w:p>
      <w:pPr>
        <w:spacing w:line="360" w:lineRule="auto"/>
        <w:ind w:firstLine="562" w:firstLineChars="200"/>
        <w:rPr>
          <w:rFonts w:hint="eastAsia" w:ascii="Times New Roman" w:cs="Times New Roman"/>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w:t>
      </w:r>
      <w:r>
        <w:rPr>
          <w:rFonts w:hint="eastAsia" w:ascii="Times New Roman" w:cs="Times New Roman"/>
          <w:color w:val="000000" w:themeColor="text1"/>
          <w:sz w:val="28"/>
          <w:szCs w:val="28"/>
          <w:lang w:val="en-US" w:eastAsia="zh-CN"/>
          <w14:textFill>
            <w14:solidFill>
              <w14:schemeClr w14:val="tx1"/>
            </w14:solidFill>
          </w14:textFill>
        </w:rPr>
        <w:t>参考《桂建标〔2018〕37号》的可行性研究报告的编制和评估收费标准。</w:t>
      </w:r>
    </w:p>
    <w:tbl>
      <w:tblPr>
        <w:tblStyle w:val="5"/>
        <w:tblW w:w="11534" w:type="dxa"/>
        <w:tblInd w:w="-1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350"/>
        <w:gridCol w:w="1284"/>
        <w:gridCol w:w="1266"/>
        <w:gridCol w:w="1317"/>
        <w:gridCol w:w="1350"/>
        <w:gridCol w:w="1300"/>
        <w:gridCol w:w="1133"/>
        <w:gridCol w:w="1267"/>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4" w:hRule="exact"/>
        </w:trPr>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1"/>
                <w:szCs w:val="21"/>
                <w14:textFill>
                  <w14:solidFill>
                    <w14:schemeClr w14:val="tx1"/>
                  </w14:solidFill>
                </w14:textFill>
              </w:rPr>
            </w:pPr>
          </w:p>
        </w:tc>
        <w:tc>
          <w:tcPr>
            <w:tcW w:w="1284"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500万元以下</w:t>
            </w:r>
          </w:p>
        </w:tc>
        <w:tc>
          <w:tcPr>
            <w:tcW w:w="1266"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500万元-1000万元</w:t>
            </w:r>
          </w:p>
        </w:tc>
        <w:tc>
          <w:tcPr>
            <w:tcW w:w="13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1000万元-3000万元</w:t>
            </w:r>
          </w:p>
        </w:tc>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3000万元-1亿元</w:t>
            </w:r>
          </w:p>
        </w:tc>
        <w:tc>
          <w:tcPr>
            <w:tcW w:w="13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1亿元-5亿元</w:t>
            </w:r>
          </w:p>
        </w:tc>
        <w:tc>
          <w:tcPr>
            <w:tcW w:w="11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5亿元-10亿元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10亿元-50亿元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50亿元以上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4" w:hRule="exact"/>
        </w:trPr>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编制可研报告</w:t>
            </w:r>
          </w:p>
        </w:tc>
        <w:tc>
          <w:tcPr>
            <w:tcW w:w="1284"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1.6-3.2万元</w:t>
            </w:r>
          </w:p>
        </w:tc>
        <w:tc>
          <w:tcPr>
            <w:tcW w:w="1266"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3.2-4.8万元</w:t>
            </w:r>
          </w:p>
        </w:tc>
        <w:tc>
          <w:tcPr>
            <w:tcW w:w="13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4.8-9.6万元</w:t>
            </w:r>
          </w:p>
        </w:tc>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9.6-22.4万元</w:t>
            </w:r>
          </w:p>
        </w:tc>
        <w:tc>
          <w:tcPr>
            <w:tcW w:w="13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22.4-60万元</w:t>
            </w:r>
          </w:p>
        </w:tc>
        <w:tc>
          <w:tcPr>
            <w:tcW w:w="11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60-88万元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88-160万元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160-200万元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8" w:hRule="exact"/>
        </w:trPr>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评估可研报告</w:t>
            </w:r>
          </w:p>
        </w:tc>
        <w:tc>
          <w:tcPr>
            <w:tcW w:w="1284"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0.8-1.2万元</w:t>
            </w:r>
          </w:p>
        </w:tc>
        <w:tc>
          <w:tcPr>
            <w:tcW w:w="1266"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1.2-2.0万元</w:t>
            </w:r>
          </w:p>
        </w:tc>
        <w:tc>
          <w:tcPr>
            <w:tcW w:w="13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2.0-4.0万元</w:t>
            </w:r>
          </w:p>
        </w:tc>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4.0-8.0万元</w:t>
            </w:r>
          </w:p>
        </w:tc>
        <w:tc>
          <w:tcPr>
            <w:tcW w:w="13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8-12万元</w:t>
            </w:r>
          </w:p>
        </w:tc>
        <w:tc>
          <w:tcPr>
            <w:tcW w:w="11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12-16万元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16-20万元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20-28万元</w:t>
            </w:r>
          </w:p>
        </w:tc>
      </w:tr>
    </w:tbl>
    <w:p>
      <w:pPr>
        <w:spacing w:line="360" w:lineRule="auto"/>
        <w:ind w:firstLine="560" w:firstLineChars="200"/>
        <w:rPr>
          <w:rFonts w:hint="eastAsia" w:ascii="Times New Roman" w:cs="Times New Roman"/>
          <w:color w:val="000000" w:themeColor="text1"/>
          <w:sz w:val="28"/>
          <w:szCs w:val="28"/>
          <w:lang w:val="en-US" w:eastAsia="zh-CN"/>
          <w14:textFill>
            <w14:solidFill>
              <w14:schemeClr w14:val="tx1"/>
            </w14:solidFill>
          </w14:textFill>
        </w:rPr>
      </w:pPr>
    </w:p>
    <w:p>
      <w:pPr>
        <w:spacing w:line="360" w:lineRule="auto"/>
        <w:ind w:firstLine="602" w:firstLineChars="200"/>
        <w:rPr>
          <w:rFonts w:hint="eastAsia" w:ascii="Times New Roman"/>
          <w:b/>
          <w:bCs/>
          <w:color w:val="000000" w:themeColor="text1"/>
          <w:sz w:val="30"/>
          <w:szCs w:val="30"/>
          <w:lang w:eastAsia="zh-CN"/>
          <w14:textFill>
            <w14:solidFill>
              <w14:schemeClr w14:val="tx1"/>
            </w14:solidFill>
          </w14:textFill>
        </w:rPr>
      </w:pPr>
      <w:r>
        <w:rPr>
          <w:rFonts w:hint="eastAsia" w:ascii="Times New Roman"/>
          <w:b/>
          <w:bCs/>
          <w:color w:val="000000" w:themeColor="text1"/>
          <w:sz w:val="30"/>
          <w:szCs w:val="30"/>
          <w:lang w:eastAsia="zh-CN"/>
          <w14:textFill>
            <w14:solidFill>
              <w14:schemeClr w14:val="tx1"/>
            </w14:solidFill>
          </w14:textFill>
        </w:rPr>
        <w:t>三、</w:t>
      </w:r>
      <w:r>
        <w:rPr>
          <w:rFonts w:hint="default" w:ascii="Times New Roman"/>
          <w:b/>
          <w:bCs/>
          <w:color w:val="000000" w:themeColor="text1"/>
          <w:sz w:val="30"/>
          <w:szCs w:val="30"/>
          <w:lang w:eastAsia="zh-CN"/>
          <w14:textFill>
            <w14:solidFill>
              <w14:schemeClr w14:val="tx1"/>
            </w14:solidFill>
          </w14:textFill>
        </w:rPr>
        <w:t>建设条件单项咨询</w:t>
      </w:r>
    </w:p>
    <w:p>
      <w:pPr>
        <w:spacing w:line="360" w:lineRule="auto"/>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　　（一）建设项目选址论证</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①工程咨询方应当依据土地管理等相关法律法规的规定，全面掌握国家供地政策、项目所在地的土地利用规划、土地使用标准、拟选地点状况等，开展建设项目选址论证。</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②建设项目选址论证主要内容包括项目的基本情况、选址占地情况、用地是否符合土地利用总体规划、用地面积是否符合土地使用标准、用地是否符合供地政策等。</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③工程咨询方应当根据建设项目选址论证结论，形成建设项目用地预审和选址意见书的申报材料，协助投资方向有权限的自然资源主管部门报批。</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2、收费标准：根据市场调查，甲乙方双方可参照商定。</w:t>
      </w:r>
    </w:p>
    <w:p>
      <w:pPr>
        <w:spacing w:line="360" w:lineRule="auto"/>
        <w:rPr>
          <w:rFonts w:hint="eastAsia" w:ascii="Times New Roman" w:cs="Times New Roman"/>
          <w:b/>
          <w:bCs/>
          <w:color w:val="FF0000"/>
          <w:sz w:val="28"/>
          <w:szCs w:val="28"/>
          <w:lang w:val="en-US" w:eastAsia="zh-CN"/>
        </w:rPr>
      </w:pPr>
      <w:r>
        <w:rPr>
          <w:color w:val="FF0000"/>
        </w:rPr>
        <w:drawing>
          <wp:inline distT="0" distB="0" distL="114300" distR="114300">
            <wp:extent cx="5273675" cy="2964815"/>
            <wp:effectExtent l="0" t="0" r="3175"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273675" cy="2964815"/>
                    </a:xfrm>
                    <a:prstGeom prst="rect">
                      <a:avLst/>
                    </a:prstGeom>
                    <a:noFill/>
                    <a:ln>
                      <a:noFill/>
                    </a:ln>
                  </pic:spPr>
                </pic:pic>
              </a:graphicData>
            </a:graphic>
          </wp:inline>
        </w:drawing>
      </w:r>
      <w:r>
        <w:rPr>
          <w:color w:val="FF0000"/>
        </w:rPr>
        <w:drawing>
          <wp:inline distT="0" distB="0" distL="114300" distR="114300">
            <wp:extent cx="5268595" cy="3643630"/>
            <wp:effectExtent l="0" t="0" r="8255" b="139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268595" cy="3643630"/>
                    </a:xfrm>
                    <a:prstGeom prst="rect">
                      <a:avLst/>
                    </a:prstGeom>
                    <a:noFill/>
                    <a:ln>
                      <a:noFill/>
                    </a:ln>
                  </pic:spPr>
                </pic:pic>
              </a:graphicData>
            </a:graphic>
          </wp:inline>
        </w:drawing>
      </w:r>
    </w:p>
    <w:p>
      <w:pPr>
        <w:spacing w:line="360" w:lineRule="auto"/>
        <w:ind w:firstLine="562" w:firstLineChars="200"/>
        <w:rPr>
          <w:rFonts w:hint="eastAsia" w:ascii="Times New Roman"/>
          <w:b/>
          <w:bCs/>
          <w:color w:val="FF0000"/>
          <w:sz w:val="28"/>
          <w:szCs w:val="28"/>
          <w:lang w:val="en-US" w:eastAsia="zh-CN"/>
        </w:rPr>
      </w:pPr>
    </w:p>
    <w:p>
      <w:pPr>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（二）</w:t>
      </w:r>
      <w:r>
        <w:rPr>
          <w:rFonts w:hint="default" w:ascii="Times New Roman"/>
          <w:b/>
          <w:bCs/>
          <w:color w:val="000000" w:themeColor="text1"/>
          <w:sz w:val="28"/>
          <w:szCs w:val="28"/>
          <w:lang w:val="en-US" w:eastAsia="zh-CN"/>
          <w14:textFill>
            <w14:solidFill>
              <w14:schemeClr w14:val="tx1"/>
            </w14:solidFill>
          </w14:textFill>
        </w:rPr>
        <w:t>建设项目压覆重要矿产资源评估</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①工程咨询方应当依据矿产资源等相关法律法规的规定，全面掌握建设项目所在地的矿产资源规划、矿产资源分布、矿业权设置情况等，开展建设项目压覆重要矿产资源评估。</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②建设项目压覆重要矿产资源评估主要内容包括项目基本情况、项目选址工作区地质矿产情况，主要确定压覆矿产的矿种、种类、面积及压覆矿产资源/储量的类型、质量、数量、经济价值、矿业权归属情况等。</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③工程咨询方应根据建设项目压覆重要矿产资源评估结论，协助投资方向有权限的自然资源主管部门报批。</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2、收费标准：双方协定。</w:t>
      </w:r>
    </w:p>
    <w:p>
      <w:pPr>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（三）</w:t>
      </w:r>
      <w:r>
        <w:rPr>
          <w:rFonts w:hint="default" w:ascii="Times New Roman"/>
          <w:b/>
          <w:bCs/>
          <w:color w:val="000000" w:themeColor="text1"/>
          <w:sz w:val="28"/>
          <w:szCs w:val="28"/>
          <w:lang w:val="en-US" w:eastAsia="zh-CN"/>
          <w14:textFill>
            <w14:solidFill>
              <w14:schemeClr w14:val="tx1"/>
            </w14:solidFill>
          </w14:textFill>
        </w:rPr>
        <w:t>建设项目环境影响评价</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①工程咨询方应当依据环境保护等相关法律法规的规定，全面掌握有关环境影响评价标准和技术规范等，开展建设项目环境影响评价。</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建设项目环境影响评价主要内容包括项目概况、项目周围环境现状、项目对环境可能造成影响的分析、预测和评估，项目环境保护措施及其技术、经济论证，项目对环境影响的经济损益分析、对项目实施环境监测的建议、环境影响评价的结论等。</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③工程咨询方应根据项目对环境的影响程度不同，编制环境影响报告书、环境影响报告表或填报环境影响登记表。</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zh-TW" w:eastAsia="zh-CN"/>
          <w14:textFill>
            <w14:solidFill>
              <w14:schemeClr w14:val="tx1"/>
            </w14:solidFill>
          </w14:textFill>
        </w:rPr>
        <w:t>④</w:t>
      </w: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工程咨询方应根据建设项目环境影响评价结论，协助投资方向有权限的生态环境主管部门报批</w:t>
      </w:r>
      <w:r>
        <w:rPr>
          <w:rFonts w:hint="eastAsia" w:ascii="Times New Roman" w:cs="Times New Roman"/>
          <w:color w:val="000000" w:themeColor="text1"/>
          <w:kern w:val="2"/>
          <w:sz w:val="28"/>
          <w:szCs w:val="28"/>
          <w:lang w:val="en-US" w:eastAsia="zh-CN"/>
          <w14:textFill>
            <w14:solidFill>
              <w14:schemeClr w14:val="tx1"/>
            </w14:solidFill>
          </w14:textFill>
        </w:rPr>
        <w:t>。</w:t>
      </w:r>
    </w:p>
    <w:p>
      <w:pPr>
        <w:spacing w:line="360" w:lineRule="auto"/>
        <w:ind w:firstLine="562" w:firstLineChars="200"/>
        <w:rPr>
          <w:rFonts w:hint="eastAsia" w:ascii="Times New Roman" w:cs="Times New Roman"/>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w:t>
      </w:r>
      <w:r>
        <w:rPr>
          <w:rFonts w:hint="eastAsia" w:ascii="Times New Roman" w:cs="Times New Roman"/>
          <w:color w:val="000000" w:themeColor="text1"/>
          <w:sz w:val="28"/>
          <w:szCs w:val="28"/>
          <w:lang w:val="en-US" w:eastAsia="zh-CN"/>
          <w14:textFill>
            <w14:solidFill>
              <w14:schemeClr w14:val="tx1"/>
            </w14:solidFill>
          </w14:textFill>
        </w:rPr>
        <w:t>参考《桂建标〔2018〕37号》编制环境影响报告书和报告表的收费标准。</w:t>
      </w:r>
    </w:p>
    <w:tbl>
      <w:tblPr>
        <w:tblStyle w:val="5"/>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95"/>
        <w:gridCol w:w="1367"/>
        <w:gridCol w:w="1300"/>
        <w:gridCol w:w="1366"/>
        <w:gridCol w:w="1517"/>
        <w:gridCol w:w="1417"/>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4" w:hRule="exact"/>
          <w:jc w:val="center"/>
        </w:trPr>
        <w:tc>
          <w:tcPr>
            <w:tcW w:w="1995"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z w:val="21"/>
                <w:szCs w:val="21"/>
                <w14:textFill>
                  <w14:solidFill>
                    <w14:schemeClr w14:val="tx1"/>
                  </w14:solidFill>
                </w14:textFill>
              </w:rPr>
            </w:pPr>
          </w:p>
        </w:tc>
        <w:tc>
          <w:tcPr>
            <w:tcW w:w="13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0.3亿元以下</w:t>
            </w:r>
          </w:p>
        </w:tc>
        <w:tc>
          <w:tcPr>
            <w:tcW w:w="13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0.3-2亿元</w:t>
            </w:r>
          </w:p>
        </w:tc>
        <w:tc>
          <w:tcPr>
            <w:tcW w:w="1366"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2-10亿元</w:t>
            </w:r>
          </w:p>
        </w:tc>
        <w:tc>
          <w:tcPr>
            <w:tcW w:w="15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10-50亿元</w:t>
            </w:r>
          </w:p>
        </w:tc>
        <w:tc>
          <w:tcPr>
            <w:tcW w:w="14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50-100亿元</w:t>
            </w:r>
          </w:p>
        </w:tc>
        <w:tc>
          <w:tcPr>
            <w:tcW w:w="129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100亿元以上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4" w:hRule="exact"/>
          <w:jc w:val="center"/>
        </w:trPr>
        <w:tc>
          <w:tcPr>
            <w:tcW w:w="1995"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编制环境影响报告书</w:t>
            </w:r>
          </w:p>
        </w:tc>
        <w:tc>
          <w:tcPr>
            <w:tcW w:w="13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1.6-3.2万元</w:t>
            </w:r>
          </w:p>
        </w:tc>
        <w:tc>
          <w:tcPr>
            <w:tcW w:w="13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3.2-4.8万元</w:t>
            </w:r>
          </w:p>
        </w:tc>
        <w:tc>
          <w:tcPr>
            <w:tcW w:w="1366"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4.8-9.6万元</w:t>
            </w:r>
          </w:p>
        </w:tc>
        <w:tc>
          <w:tcPr>
            <w:tcW w:w="15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9.6-22.4万元</w:t>
            </w:r>
          </w:p>
        </w:tc>
        <w:tc>
          <w:tcPr>
            <w:tcW w:w="14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22.4-60万元</w:t>
            </w:r>
          </w:p>
        </w:tc>
        <w:tc>
          <w:tcPr>
            <w:tcW w:w="129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60-88万元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8" w:hRule="exact"/>
          <w:jc w:val="center"/>
        </w:trPr>
        <w:tc>
          <w:tcPr>
            <w:tcW w:w="1995"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编制环境影响报告表</w:t>
            </w:r>
          </w:p>
        </w:tc>
        <w:tc>
          <w:tcPr>
            <w:tcW w:w="13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0.8-1.2万元</w:t>
            </w:r>
          </w:p>
        </w:tc>
        <w:tc>
          <w:tcPr>
            <w:tcW w:w="13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1.2-2.0万元</w:t>
            </w:r>
          </w:p>
        </w:tc>
        <w:tc>
          <w:tcPr>
            <w:tcW w:w="1366"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2.0-4.0万元</w:t>
            </w:r>
          </w:p>
        </w:tc>
        <w:tc>
          <w:tcPr>
            <w:tcW w:w="15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4.0-8.0万元</w:t>
            </w:r>
          </w:p>
        </w:tc>
        <w:tc>
          <w:tcPr>
            <w:tcW w:w="14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8-12万元</w:t>
            </w:r>
          </w:p>
        </w:tc>
        <w:tc>
          <w:tcPr>
            <w:tcW w:w="129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12-16万元</w:t>
            </w:r>
          </w:p>
        </w:tc>
      </w:tr>
    </w:tbl>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（四）</w:t>
      </w:r>
      <w:r>
        <w:rPr>
          <w:rFonts w:hint="eastAsia" w:ascii="Times New Roman" w:cs="Times New Roman"/>
          <w:b/>
          <w:bCs/>
          <w:color w:val="000000" w:themeColor="text1"/>
          <w:sz w:val="28"/>
          <w:szCs w:val="28"/>
          <w:lang w:val="en-US" w:eastAsia="zh-CN"/>
          <w14:textFill>
            <w14:solidFill>
              <w14:schemeClr w14:val="tx1"/>
            </w14:solidFill>
          </w14:textFill>
        </w:rPr>
        <w:t>节能评估</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①工程咨询方应当根据节能审查等相关法律法规的规定，全面掌握国家节能相关政策、标准和技术规范等，开展固定资产投资项目节能评估。</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固定资产投资项目节能评估主要内容包括分析评价依据；项目建设方案的节能分析和比选；选取节能效果好、技术经济可行的节能技术和管理措施；项目能源消费量、能源消费结构、能源效率等方面的分析；对所在地完成能源消耗总量和强度目标、煤炭消费减量替代目标的影响等方面的分析评价等。</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③工程咨询方应根据固定资产投资项目节能评估结论，协助投资方向有权限的节能审查主管部门报批。</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w:t>
      </w:r>
      <w:r>
        <w:rPr>
          <w:rFonts w:hint="eastAsia" w:ascii="Times New Roman" w:cs="Times New Roman"/>
          <w:color w:val="000000" w:themeColor="text1"/>
          <w:sz w:val="28"/>
          <w:szCs w:val="28"/>
          <w:lang w:val="en-US" w:eastAsia="zh-CN"/>
          <w14:textFill>
            <w14:solidFill>
              <w14:schemeClr w14:val="tx1"/>
            </w14:solidFill>
          </w14:textFill>
        </w:rPr>
        <w:t>参考《桂建标〔2018〕37号》的可行性研究报告的编制和评估收费标准。</w:t>
      </w:r>
    </w:p>
    <w:tbl>
      <w:tblPr>
        <w:tblStyle w:val="5"/>
        <w:tblW w:w="11534" w:type="dxa"/>
        <w:tblInd w:w="-1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350"/>
        <w:gridCol w:w="1284"/>
        <w:gridCol w:w="1266"/>
        <w:gridCol w:w="1317"/>
        <w:gridCol w:w="1350"/>
        <w:gridCol w:w="1300"/>
        <w:gridCol w:w="1133"/>
        <w:gridCol w:w="1267"/>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4" w:hRule="exact"/>
        </w:trPr>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1"/>
                <w:szCs w:val="21"/>
                <w14:textFill>
                  <w14:solidFill>
                    <w14:schemeClr w14:val="tx1"/>
                  </w14:solidFill>
                </w14:textFill>
              </w:rPr>
            </w:pPr>
          </w:p>
        </w:tc>
        <w:tc>
          <w:tcPr>
            <w:tcW w:w="1284"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500万元以下</w:t>
            </w:r>
          </w:p>
        </w:tc>
        <w:tc>
          <w:tcPr>
            <w:tcW w:w="1266"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500万元-1000万元</w:t>
            </w:r>
          </w:p>
        </w:tc>
        <w:tc>
          <w:tcPr>
            <w:tcW w:w="13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1000万元-3000万元</w:t>
            </w:r>
          </w:p>
        </w:tc>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3000万元-1亿元</w:t>
            </w:r>
          </w:p>
        </w:tc>
        <w:tc>
          <w:tcPr>
            <w:tcW w:w="13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1亿元-5亿元</w:t>
            </w:r>
          </w:p>
        </w:tc>
        <w:tc>
          <w:tcPr>
            <w:tcW w:w="11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5亿元-10亿元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10亿元-50亿元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50亿元以上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4" w:hRule="exact"/>
        </w:trPr>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编制节能报告</w:t>
            </w:r>
          </w:p>
        </w:tc>
        <w:tc>
          <w:tcPr>
            <w:tcW w:w="1284"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0.8-1.2万元</w:t>
            </w:r>
          </w:p>
        </w:tc>
        <w:tc>
          <w:tcPr>
            <w:tcW w:w="1266"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1.2-2.0万元</w:t>
            </w:r>
          </w:p>
        </w:tc>
        <w:tc>
          <w:tcPr>
            <w:tcW w:w="13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2.4-4.8万元</w:t>
            </w:r>
          </w:p>
        </w:tc>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4.8-11.2万元</w:t>
            </w:r>
          </w:p>
        </w:tc>
        <w:tc>
          <w:tcPr>
            <w:tcW w:w="13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11.2-29.6万元</w:t>
            </w:r>
          </w:p>
        </w:tc>
        <w:tc>
          <w:tcPr>
            <w:tcW w:w="11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29.6-44万元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44-80万元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80-100万元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8" w:hRule="exact"/>
        </w:trPr>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评估节能报告</w:t>
            </w:r>
          </w:p>
        </w:tc>
        <w:tc>
          <w:tcPr>
            <w:tcW w:w="1284"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0.4-0.8万元</w:t>
            </w:r>
          </w:p>
        </w:tc>
        <w:tc>
          <w:tcPr>
            <w:tcW w:w="1266"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0.8-1.2万元</w:t>
            </w:r>
          </w:p>
        </w:tc>
        <w:tc>
          <w:tcPr>
            <w:tcW w:w="131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1.2-3.2万元</w:t>
            </w:r>
          </w:p>
        </w:tc>
        <w:tc>
          <w:tcPr>
            <w:tcW w:w="135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3.2-6.4万元</w:t>
            </w:r>
          </w:p>
        </w:tc>
        <w:tc>
          <w:tcPr>
            <w:tcW w:w="1300"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6.4-9.6万元</w:t>
            </w:r>
          </w:p>
        </w:tc>
        <w:tc>
          <w:tcPr>
            <w:tcW w:w="1133"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9.6-12万元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12-13.6万元</w:t>
            </w:r>
          </w:p>
        </w:tc>
        <w:tc>
          <w:tcPr>
            <w:tcW w:w="1267" w:type="dxa"/>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13.6-16万元</w:t>
            </w:r>
          </w:p>
        </w:tc>
      </w:tr>
    </w:tbl>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p>
    <w:p>
      <w:pPr>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（五）防洪影响评价</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①工程咨询方应当依据防洪等相关法律法规的规定，全面掌握防洪影响评价标准和规范性文件要求，开展防洪影响评价。</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②防洪影响评价主要内容包括项目概况、项目对防洪的影响、洪水对建设项目的影响、消除或减轻洪水影响的措施、结论与建议等。</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河道管理范围内建设项目工程建设方案的审批，需编制防洪评价报告。非防洪建设项目防洪影响评价报告的审批，需编制防洪影响评价报告。国家基本水文测站上下游建设影响水文监测工程的审批，需编制建设工程对水文监测影响程度的分析评价报告。</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zh-TW" w:eastAsia="zh-CN"/>
          <w14:textFill>
            <w14:solidFill>
              <w14:schemeClr w14:val="tx1"/>
            </w14:solidFill>
          </w14:textFill>
        </w:rPr>
        <w:t>④</w:t>
      </w: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工程咨询方应根据防洪影响评价结论，协助投资方向有权限的水行政主管部门报批。</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2、收费标准：双方协定。</w:t>
      </w:r>
    </w:p>
    <w:p>
      <w:pPr>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（六）</w:t>
      </w:r>
      <w:r>
        <w:rPr>
          <w:rFonts w:hint="eastAsia" w:ascii="Times New Roman" w:cs="Times New Roman"/>
          <w:b/>
          <w:bCs/>
          <w:color w:val="000000" w:themeColor="text1"/>
          <w:sz w:val="28"/>
          <w:szCs w:val="28"/>
          <w:lang w:val="en-US" w:eastAsia="zh-CN"/>
          <w14:textFill>
            <w14:solidFill>
              <w14:schemeClr w14:val="tx1"/>
            </w14:solidFill>
          </w14:textFill>
        </w:rPr>
        <w:t>生产建设项目水土保持方案</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①工程咨询单位应当依据水土保持等相关法律法规的规定，全面掌握国家水土保持政策标准、技术规范等，编制生产建设项目水土保持方案。</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生产建设项目水土保持方案主要内容包括生产建设项目概况及项目所在地区域概况、主体工程水土保持评价与水土流失预测，水土流失防治责任范围及防治分区，水土流失防治目标及防治措施布局，水土保持方案投资估算与效益分析等。</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③工程咨询单位应根据生产建设项目水土保持方案结论，协助投资方向有权限的水行政主管部门报批。</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2、收费标准：双方协定。</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（七）</w:t>
      </w:r>
      <w:r>
        <w:rPr>
          <w:rFonts w:hint="eastAsia" w:ascii="Times New Roman" w:cs="Times New Roman"/>
          <w:b/>
          <w:bCs/>
          <w:color w:val="000000" w:themeColor="text1"/>
          <w:sz w:val="28"/>
          <w:szCs w:val="28"/>
          <w:lang w:val="en-US" w:eastAsia="zh-CN"/>
          <w14:textFill>
            <w14:solidFill>
              <w14:schemeClr w14:val="tx1"/>
            </w14:solidFill>
          </w14:textFill>
        </w:rPr>
        <w:t>水资源论证</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①工程咨询方应当依据取水许可等相关法律法规的规定，开展建设项目水资源论证。</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②建设项目水资源论证主要内容包括拟建项目概况、取水水源论证、用水合理性论证、退（排）水情况及其对水环境影响分析、对其他用水户权益的影响分析、其他事项等。</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③工程咨询方应根据项目取水量以及对周边环境影响程度等情况，按规定要求编制水资源论证报告书（表）。</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④工程咨询方应根据建设项目水资源论证结论，协助投资方向有权限的水行政主管部门报批。</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2、收费标准：双方协定。</w:t>
      </w:r>
    </w:p>
    <w:p>
      <w:pPr>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（八）建设工程文物保护</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①工程咨询方应当依据文物保护等相关法律法规的规定，全面掌握拟建项目建设地点、工程规划和设计方案、文物保护单位的具体情况等，开展建设工程对文物可能产生破坏或影响的评估。</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②建设工程对文物可能产生破坏或影响的评估主要内容包括项目概况、涉及文物保护单位概况、项目与文物保护单位的关系、项目对文物保护单位的影响分析、评估结论等。</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③工程咨询方应根据建设工程对文物可能产生破坏或影响的评估结论，协助投资方向有权限的文物行政主管部门报批。</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2、收费标准：双方协定。</w:t>
      </w:r>
    </w:p>
    <w:p>
      <w:pPr>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（九）社会风险评估</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①工程咨询方应当依据重大固定资产投资项目社会稳定风险评估暂行办法等相关法规的规定，开展社会风险评估。</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②社会风险评估主要内容包括项目概况、社会风险调查分析、相关群众意见、风险点、风险发生的可能性及影响程度、防范和化解风险的方案措施、提出采取相关措施后的社会风险等级建议等。</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③工程咨询方应根据社会风险评估结论，协助投资方向有权限的行政主管部门报批。</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2、收费标准：双方协定。</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（十）</w:t>
      </w:r>
      <w:r>
        <w:rPr>
          <w:rFonts w:hint="default" w:ascii="Times New Roman" w:cs="Times New Roman"/>
          <w:b/>
          <w:bCs/>
          <w:color w:val="000000" w:themeColor="text1"/>
          <w:sz w:val="28"/>
          <w:szCs w:val="28"/>
          <w:lang w:val="en-US" w:eastAsia="zh-CN"/>
          <w14:textFill>
            <w14:solidFill>
              <w14:schemeClr w14:val="tx1"/>
            </w14:solidFill>
          </w14:textFill>
        </w:rPr>
        <w:t>政府和社会资本合作（PPP）咨询</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 拟采用政府和社会资本合作（PPP）模式的，工程咨询方应当在可行性研究阶段对项目是否适宜采用PPP模式进行分析和论证。</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②PPP咨询主要内容是从政府投资必要性、政府投资方式比选、项目全生命周期成本、运营效率、风险管理以及是否有利于吸引社会资本参与等方面，对项目是否适宜采用PPP模式进行分析和论证。</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③工程咨询方应根据PPP咨询结论，协助投资方开展PPP实施方案报批等相关工作。</w:t>
      </w:r>
    </w:p>
    <w:p>
      <w:pPr>
        <w:spacing w:line="360" w:lineRule="auto"/>
        <w:ind w:firstLine="562" w:firstLineChars="200"/>
        <w:rPr>
          <w:rFonts w:hint="eastAsia" w:ascii="Times New Roman" w:cs="Times New Roman"/>
          <w:b/>
          <w:bCs/>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2、收费标准：双方协定。</w:t>
      </w:r>
    </w:p>
    <w:p>
      <w:pPr>
        <w:spacing w:line="360" w:lineRule="auto"/>
        <w:ind w:firstLine="602" w:firstLineChars="200"/>
        <w:rPr>
          <w:rFonts w:hint="eastAsia" w:ascii="Times New Roman"/>
          <w:b/>
          <w:bCs/>
          <w:color w:val="000000" w:themeColor="text1"/>
          <w:sz w:val="30"/>
          <w:szCs w:val="30"/>
          <w:lang w:eastAsia="zh-CN"/>
          <w14:textFill>
            <w14:solidFill>
              <w14:schemeClr w14:val="tx1"/>
            </w14:solidFill>
          </w14:textFill>
        </w:rPr>
      </w:pPr>
      <w:r>
        <w:rPr>
          <w:rFonts w:hint="eastAsia" w:ascii="Times New Roman"/>
          <w:b/>
          <w:bCs/>
          <w:color w:val="000000" w:themeColor="text1"/>
          <w:sz w:val="30"/>
          <w:szCs w:val="30"/>
          <w:lang w:eastAsia="zh-CN"/>
          <w14:textFill>
            <w14:solidFill>
              <w14:schemeClr w14:val="tx1"/>
            </w14:solidFill>
          </w14:textFill>
        </w:rPr>
        <w:t>四、工程勘察技术</w:t>
      </w:r>
      <w:r>
        <w:rPr>
          <w:rFonts w:hint="eastAsia" w:ascii="Times New Roman"/>
          <w:b/>
          <w:bCs/>
          <w:color w:val="000000" w:themeColor="text1"/>
          <w:sz w:val="30"/>
          <w:szCs w:val="30"/>
          <w:lang w:val="en-US" w:eastAsia="zh-CN"/>
          <w14:textFill>
            <w14:solidFill>
              <w14:schemeClr w14:val="tx1"/>
            </w14:solidFill>
          </w14:textFill>
        </w:rPr>
        <w:t>咨询</w:t>
      </w:r>
      <w:r>
        <w:rPr>
          <w:rFonts w:hint="eastAsia" w:ascii="Times New Roman"/>
          <w:b/>
          <w:bCs/>
          <w:color w:val="000000" w:themeColor="text1"/>
          <w:sz w:val="30"/>
          <w:szCs w:val="30"/>
          <w:lang w:eastAsia="zh-CN"/>
          <w14:textFill>
            <w14:solidFill>
              <w14:schemeClr w14:val="tx1"/>
            </w14:solidFill>
          </w14:textFill>
        </w:rPr>
        <w:t>和工程设计技术</w:t>
      </w:r>
      <w:r>
        <w:rPr>
          <w:rFonts w:hint="eastAsia" w:ascii="Times New Roman"/>
          <w:b/>
          <w:bCs/>
          <w:color w:val="000000" w:themeColor="text1"/>
          <w:sz w:val="30"/>
          <w:szCs w:val="30"/>
          <w:lang w:val="en-US" w:eastAsia="zh-CN"/>
          <w14:textFill>
            <w14:solidFill>
              <w14:schemeClr w14:val="tx1"/>
            </w14:solidFill>
          </w14:textFill>
        </w:rPr>
        <w:t>咨询</w:t>
      </w:r>
    </w:p>
    <w:p>
      <w:pPr>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（一）工程勘察技术咨询</w:t>
      </w:r>
    </w:p>
    <w:p>
      <w:pPr>
        <w:numPr>
          <w:ilvl w:val="0"/>
          <w:numId w:val="0"/>
        </w:numPr>
        <w:tabs>
          <w:tab w:val="left" w:pos="312"/>
        </w:tabs>
        <w:spacing w:line="360" w:lineRule="auto"/>
        <w:ind w:firstLine="562" w:firstLineChars="200"/>
        <w:rPr>
          <w:rFonts w:hint="eastAsia" w:ascii="Times New Roman"/>
          <w:b/>
          <w:bCs/>
          <w:color w:val="000000" w:themeColor="text1"/>
          <w:sz w:val="28"/>
          <w:szCs w:val="28"/>
          <w:lang w:val="en-US" w:eastAsia="zh-CN"/>
          <w14:textFill>
            <w14:solidFill>
              <w14:schemeClr w14:val="tx1"/>
            </w14:solidFill>
          </w14:textFill>
        </w:rPr>
      </w:pPr>
      <w:r>
        <w:rPr>
          <w:rFonts w:hint="eastAsia" w:ascii="Times New Roman"/>
          <w:b/>
          <w:bCs/>
          <w:color w:val="000000" w:themeColor="text1"/>
          <w:sz w:val="28"/>
          <w:szCs w:val="28"/>
          <w:lang w:val="en-US" w:eastAsia="zh-CN"/>
          <w14:textFill>
            <w14:solidFill>
              <w14:schemeClr w14:val="tx1"/>
            </w14:solidFill>
          </w14:textFill>
        </w:rPr>
        <w:t>1、主要工作内容</w:t>
      </w:r>
    </w:p>
    <w:p>
      <w:pPr>
        <w:pStyle w:val="12"/>
        <w:overflowPunct w:val="0"/>
        <w:spacing w:before="156" w:beforeLines="50"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①工程咨询方应根据工程咨询合同约定，针对可行性研究勘察、初步勘察、详细勘察和施工勘察为委托方提供咨询服务，也可针对某一特定勘察任务为委托方提供咨询服务。</w:t>
      </w:r>
    </w:p>
    <w:p>
      <w:pPr>
        <w:pStyle w:val="12"/>
        <w:overflowPunct w:val="0"/>
        <w:spacing w:line="360" w:lineRule="auto"/>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cs="Times New Roman"/>
          <w:color w:val="000000" w:themeColor="text1"/>
          <w:kern w:val="2"/>
          <w:sz w:val="28"/>
          <w:szCs w:val="28"/>
          <w:lang w:val="en-US" w:eastAsia="zh-CN"/>
          <w14:textFill>
            <w14:solidFill>
              <w14:schemeClr w14:val="tx1"/>
            </w14:solidFill>
          </w14:textFill>
        </w:rPr>
        <w:t>　　</w:t>
      </w: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②工程咨询方应遵循工程勘察标准实施勘察作业，包括室外作业、室内试验分析和报告编制。</w:t>
      </w:r>
    </w:p>
    <w:p>
      <w:pPr>
        <w:pStyle w:val="12"/>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③工程勘察应查明场地和地基稳定性、地层结构、持力层和下卧层的工程特性，土的应力历史和地下水条件及不良地质作用等。</w:t>
      </w:r>
    </w:p>
    <w:p>
      <w:pPr>
        <w:pStyle w:val="12"/>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④工程勘察应提供满足工程设计、施工所需的岩土参数，并应确定地基承载力和预测地基变形性状。</w:t>
      </w:r>
    </w:p>
    <w:p>
      <w:pPr>
        <w:pStyle w:val="12"/>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⑤对于抗震设防烈度等于或大于6度的场地，应进行场地与地基的地震效应评价。</w:t>
      </w:r>
    </w:p>
    <w:p>
      <w:pPr>
        <w:pStyle w:val="12"/>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⑥工程咨询方应根据工程勘察任务书要求及工程勘察相关标准编制工程勘察报告。或根据委托方要求及项目需求，编制水文地质勘察报告、文物保护勘察报告等专项勘察报告。</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⑦工程勘察报告内容组成应完整，结论表述应清晰，并应满足工程勘察合同、勘察任务书及工程设计的深度要求，确保工程勘察成果的科学性、真实性和准确性。</w:t>
      </w:r>
    </w:p>
    <w:p>
      <w:pPr>
        <w:overflowPunct w:val="0"/>
        <w:spacing w:line="360" w:lineRule="auto"/>
        <w:ind w:firstLine="560" w:firstLineChars="200"/>
        <w:rPr>
          <w:rFonts w:hint="eastAsia" w:ascii="Times New Roman" w:hAnsi="Calibri" w:eastAsia="宋体" w:cs="Times New Roman"/>
          <w:color w:val="000000" w:themeColor="text1"/>
          <w:kern w:val="2"/>
          <w:sz w:val="28"/>
          <w:szCs w:val="28"/>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lang w:val="en-US" w:eastAsia="zh-CN"/>
          <w14:textFill>
            <w14:solidFill>
              <w14:schemeClr w14:val="tx1"/>
            </w14:solidFill>
          </w14:textFill>
        </w:rPr>
        <w:t>⑧工程咨询方应配合委托方完成工程勘察报告的审核验收。</w:t>
      </w:r>
    </w:p>
    <w:p>
      <w:pPr>
        <w:numPr>
          <w:ilvl w:val="0"/>
          <w:numId w:val="0"/>
        </w:numPr>
        <w:spacing w:line="360" w:lineRule="auto"/>
        <w:ind w:firstLine="562" w:firstLineChars="200"/>
        <w:rPr>
          <w:rFonts w:hint="eastAsia" w:ascii="Times New Roman" w:cs="Times New Roman"/>
          <w:color w:val="000000" w:themeColor="text1"/>
          <w:sz w:val="28"/>
          <w:szCs w:val="28"/>
          <w:lang w:val="en-US" w:eastAsia="zh-CN"/>
          <w14:textFill>
            <w14:solidFill>
              <w14:schemeClr w14:val="tx1"/>
            </w14:solidFill>
          </w14:textFill>
        </w:rPr>
      </w:pPr>
      <w:r>
        <w:rPr>
          <w:rFonts w:hint="eastAsia" w:ascii="Times New Roman" w:cs="Times New Roman"/>
          <w:b/>
          <w:bCs/>
          <w:color w:val="000000" w:themeColor="text1"/>
          <w:sz w:val="28"/>
          <w:szCs w:val="28"/>
          <w:lang w:val="en-US" w:eastAsia="zh-CN"/>
          <w14:textFill>
            <w14:solidFill>
              <w14:schemeClr w14:val="tx1"/>
            </w14:solidFill>
          </w14:textFill>
        </w:rPr>
        <w:t>2、收费标准：</w:t>
      </w:r>
      <w:r>
        <w:rPr>
          <w:rFonts w:hint="eastAsia" w:ascii="Times New Roman" w:cs="Times New Roman"/>
          <w:color w:val="000000" w:themeColor="text1"/>
          <w:sz w:val="28"/>
          <w:szCs w:val="28"/>
          <w:lang w:val="en-US" w:eastAsia="zh-CN"/>
          <w14:textFill>
            <w14:solidFill>
              <w14:schemeClr w14:val="tx1"/>
            </w14:solidFill>
          </w14:textFill>
        </w:rPr>
        <w:t>参考《桂建标〔2018〕37号》的工程勘察费。</w:t>
      </w:r>
    </w:p>
    <w:tbl>
      <w:tblPr>
        <w:tblStyle w:val="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3105"/>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4" w:type="dxa"/>
          </w:tcPr>
          <w:p>
            <w:pPr>
              <w:numPr>
                <w:ilvl w:val="0"/>
                <w:numId w:val="0"/>
              </w:numPr>
              <w:spacing w:line="360" w:lineRule="auto"/>
              <w:jc w:val="center"/>
              <w:rPr>
                <w:rFonts w:hint="eastAsia" w:ascii="Times New Roman"/>
                <w:color w:val="000000" w:themeColor="text1"/>
                <w:sz w:val="28"/>
                <w:szCs w:val="28"/>
                <w:vertAlign w:val="baseline"/>
                <w:lang w:val="en-US" w:eastAsia="zh-CN"/>
                <w14:textFill>
                  <w14:solidFill>
                    <w14:schemeClr w14:val="tx1"/>
                  </w14:solidFill>
                </w14:textFill>
              </w:rPr>
            </w:pPr>
            <w:r>
              <w:rPr>
                <w:rFonts w:hint="eastAsia" w:ascii="Times New Roman"/>
                <w:color w:val="000000" w:themeColor="text1"/>
                <w:sz w:val="28"/>
                <w:szCs w:val="28"/>
                <w:vertAlign w:val="baseline"/>
                <w:lang w:val="en-US" w:eastAsia="zh-CN"/>
                <w14:textFill>
                  <w14:solidFill>
                    <w14:schemeClr w14:val="tx1"/>
                  </w14:solidFill>
                </w14:textFill>
              </w:rPr>
              <w:t>序号</w:t>
            </w:r>
          </w:p>
        </w:tc>
        <w:tc>
          <w:tcPr>
            <w:tcW w:w="3105" w:type="dxa"/>
          </w:tcPr>
          <w:p>
            <w:pPr>
              <w:numPr>
                <w:ilvl w:val="0"/>
                <w:numId w:val="0"/>
              </w:numPr>
              <w:spacing w:line="360" w:lineRule="auto"/>
              <w:jc w:val="center"/>
              <w:rPr>
                <w:rFonts w:hint="eastAsia" w:ascii="Times New Roman"/>
                <w:color w:val="000000" w:themeColor="text1"/>
                <w:sz w:val="28"/>
                <w:szCs w:val="28"/>
                <w:vertAlign w:val="baseline"/>
                <w:lang w:val="en-US" w:eastAsia="zh-CN"/>
                <w14:textFill>
                  <w14:solidFill>
                    <w14:schemeClr w14:val="tx1"/>
                  </w14:solidFill>
                </w14:textFill>
              </w:rPr>
            </w:pPr>
            <w:r>
              <w:rPr>
                <w:rFonts w:hint="eastAsia" w:ascii="Times New Roman"/>
                <w:color w:val="000000" w:themeColor="text1"/>
                <w:sz w:val="28"/>
                <w:szCs w:val="28"/>
                <w:vertAlign w:val="baseline"/>
                <w:lang w:val="en-US" w:eastAsia="zh-CN"/>
                <w14:textFill>
                  <w14:solidFill>
                    <w14:schemeClr w14:val="tx1"/>
                  </w14:solidFill>
                </w14:textFill>
              </w:rPr>
              <w:t>费用项目名称</w:t>
            </w:r>
          </w:p>
        </w:tc>
        <w:tc>
          <w:tcPr>
            <w:tcW w:w="4590" w:type="dxa"/>
          </w:tcPr>
          <w:p>
            <w:pPr>
              <w:numPr>
                <w:ilvl w:val="0"/>
                <w:numId w:val="0"/>
              </w:numPr>
              <w:spacing w:line="360" w:lineRule="auto"/>
              <w:jc w:val="center"/>
              <w:rPr>
                <w:rFonts w:hint="eastAsia" w:ascii="Times New Roman"/>
                <w:color w:val="000000" w:themeColor="text1"/>
                <w:sz w:val="28"/>
                <w:szCs w:val="28"/>
                <w:vertAlign w:val="baseline"/>
                <w:lang w:val="en-US" w:eastAsia="zh-CN"/>
                <w14:textFill>
                  <w14:solidFill>
                    <w14:schemeClr w14:val="tx1"/>
                  </w14:solidFill>
                </w14:textFill>
              </w:rPr>
            </w:pPr>
            <w:r>
              <w:rPr>
                <w:rFonts w:hint="eastAsia" w:ascii="Times New Roman"/>
                <w:color w:val="000000" w:themeColor="text1"/>
                <w:sz w:val="28"/>
                <w:szCs w:val="28"/>
                <w:vertAlign w:val="baseline"/>
                <w:lang w:val="en-US" w:eastAsia="zh-CN"/>
                <w14:textFill>
                  <w14:solidFill>
                    <w14:schemeClr w14:val="tx1"/>
                  </w14:solidFill>
                </w14:textFill>
              </w:rPr>
              <w:t>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numPr>
                <w:ilvl w:val="0"/>
                <w:numId w:val="0"/>
              </w:numPr>
              <w:spacing w:line="360" w:lineRule="auto"/>
              <w:jc w:val="center"/>
              <w:rPr>
                <w:rFonts w:hint="default" w:ascii="Times New Roman"/>
                <w:color w:val="000000" w:themeColor="text1"/>
                <w:sz w:val="28"/>
                <w:szCs w:val="28"/>
                <w:vertAlign w:val="baseline"/>
                <w:lang w:val="en-US" w:eastAsia="zh-CN"/>
                <w14:textFill>
                  <w14:solidFill>
                    <w14:schemeClr w14:val="tx1"/>
                  </w14:solidFill>
                </w14:textFill>
              </w:rPr>
            </w:pPr>
            <w:r>
              <w:rPr>
                <w:rFonts w:hint="eastAsia" w:ascii="Times New Roman"/>
                <w:color w:val="000000" w:themeColor="text1"/>
                <w:sz w:val="28"/>
                <w:szCs w:val="28"/>
                <w:vertAlign w:val="baseline"/>
                <w:lang w:val="en-US" w:eastAsia="zh-CN"/>
                <w14:textFill>
                  <w14:solidFill>
                    <w14:schemeClr w14:val="tx1"/>
                  </w14:solidFill>
                </w14:textFill>
              </w:rPr>
              <w:t>1</w:t>
            </w:r>
          </w:p>
        </w:tc>
        <w:tc>
          <w:tcPr>
            <w:tcW w:w="3105" w:type="dxa"/>
            <w:vAlign w:val="center"/>
          </w:tcPr>
          <w:p>
            <w:pPr>
              <w:numPr>
                <w:ilvl w:val="0"/>
                <w:numId w:val="0"/>
              </w:numPr>
              <w:spacing w:line="360" w:lineRule="auto"/>
              <w:jc w:val="center"/>
              <w:rPr>
                <w:rFonts w:hint="eastAsia" w:ascii="Times New Roman"/>
                <w:color w:val="000000" w:themeColor="text1"/>
                <w:sz w:val="28"/>
                <w:szCs w:val="28"/>
                <w:vertAlign w:val="baseline"/>
                <w:lang w:val="en-US" w:eastAsia="zh-CN"/>
                <w14:textFill>
                  <w14:solidFill>
                    <w14:schemeClr w14:val="tx1"/>
                  </w14:solidFill>
                </w14:textFill>
              </w:rPr>
            </w:pPr>
            <w:r>
              <w:rPr>
                <w:rFonts w:hint="eastAsia" w:ascii="Times New Roman"/>
                <w:color w:val="000000" w:themeColor="text1"/>
                <w:sz w:val="28"/>
                <w:szCs w:val="28"/>
                <w:vertAlign w:val="baseline"/>
                <w:lang w:val="en-US" w:eastAsia="zh-CN"/>
                <w14:textFill>
                  <w14:solidFill>
                    <w14:schemeClr w14:val="tx1"/>
                  </w14:solidFill>
                </w14:textFill>
              </w:rPr>
              <w:t>工程勘察费</w:t>
            </w:r>
          </w:p>
        </w:tc>
        <w:tc>
          <w:tcPr>
            <w:tcW w:w="4590" w:type="dxa"/>
          </w:tcPr>
          <w:p>
            <w:pPr>
              <w:pStyle w:val="4"/>
              <w:keepNext w:val="0"/>
              <w:keepLines w:val="0"/>
              <w:widowControl/>
              <w:suppressLineNumbers w:val="0"/>
              <w:spacing w:before="0" w:beforeAutospacing="0" w:after="0" w:afterAutospacing="0"/>
              <w:ind w:left="0" w:right="0" w:firstLine="0"/>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初步勘察及详细勘察</w:t>
            </w:r>
            <w:r>
              <w:rPr>
                <w:rFonts w:hint="eastAsia" w:ascii="Times New Roman" w:cs="Times New Roman"/>
                <w:color w:val="000000" w:themeColor="text1"/>
                <w:kern w:val="2"/>
                <w:sz w:val="28"/>
                <w:szCs w:val="28"/>
                <w:vertAlign w:val="baseline"/>
                <w:lang w:val="en-US" w:eastAsia="zh-CN"/>
                <w14:textFill>
                  <w14:solidFill>
                    <w14:schemeClr w14:val="tx1"/>
                  </w14:solidFill>
                </w14:textFill>
              </w:rPr>
              <w:t>管理：</w:t>
            </w: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建筑项目按工程费用0.</w:t>
            </w:r>
            <w:r>
              <w:rPr>
                <w:rFonts w:hint="eastAsia" w:ascii="Times New Roman" w:cs="Times New Roman"/>
                <w:color w:val="000000" w:themeColor="text1"/>
                <w:kern w:val="2"/>
                <w:sz w:val="28"/>
                <w:szCs w:val="28"/>
                <w:vertAlign w:val="baseline"/>
                <w:lang w:val="en-US" w:eastAsia="zh-CN"/>
                <w14:textFill>
                  <w14:solidFill>
                    <w14:schemeClr w14:val="tx1"/>
                  </w14:solidFill>
                </w14:textFill>
              </w:rPr>
              <w:t>3</w:t>
            </w: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%-0.</w:t>
            </w:r>
            <w:r>
              <w:rPr>
                <w:rFonts w:hint="eastAsia" w:ascii="Times New Roman" w:cs="Times New Roman"/>
                <w:color w:val="000000" w:themeColor="text1"/>
                <w:kern w:val="2"/>
                <w:sz w:val="28"/>
                <w:szCs w:val="28"/>
                <w:vertAlign w:val="baseline"/>
                <w:lang w:val="en-US" w:eastAsia="zh-CN"/>
                <w14:textFill>
                  <w14:solidFill>
                    <w14:schemeClr w14:val="tx1"/>
                  </w14:solidFill>
                </w14:textFill>
              </w:rPr>
              <w:t>5</w:t>
            </w: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%计列</w:t>
            </w:r>
            <w:r>
              <w:rPr>
                <w:rFonts w:hint="eastAsia" w:ascii="Times New Roman" w:cs="Times New Roman"/>
                <w:color w:val="000000" w:themeColor="text1"/>
                <w:kern w:val="2"/>
                <w:sz w:val="28"/>
                <w:szCs w:val="28"/>
                <w:vertAlign w:val="baseline"/>
                <w:lang w:val="en-US" w:eastAsia="zh-CN"/>
                <w14:textFill>
                  <w14:solidFill>
                    <w14:schemeClr w14:val="tx1"/>
                  </w14:solidFill>
                </w14:textFill>
              </w:rPr>
              <w:t>；</w:t>
            </w: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市政项目按</w:t>
            </w:r>
            <w:r>
              <w:rPr>
                <w:rFonts w:hint="eastAsia" w:ascii="Times New Roman" w:cs="Times New Roman"/>
                <w:color w:val="000000" w:themeColor="text1"/>
                <w:kern w:val="2"/>
                <w:sz w:val="28"/>
                <w:szCs w:val="28"/>
                <w:vertAlign w:val="baseline"/>
                <w:lang w:val="en-US" w:eastAsia="zh-CN"/>
                <w14:textFill>
                  <w14:solidFill>
                    <w14:schemeClr w14:val="tx1"/>
                  </w14:solidFill>
                </w14:textFill>
              </w:rPr>
              <w:t>工程</w:t>
            </w: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程费用0.</w:t>
            </w:r>
            <w:r>
              <w:rPr>
                <w:rFonts w:hint="eastAsia" w:ascii="Times New Roman" w:cs="Times New Roman"/>
                <w:color w:val="000000" w:themeColor="text1"/>
                <w:kern w:val="2"/>
                <w:sz w:val="28"/>
                <w:szCs w:val="28"/>
                <w:vertAlign w:val="baseline"/>
                <w:lang w:val="en-US" w:eastAsia="zh-CN"/>
                <w14:textFill>
                  <w14:solidFill>
                    <w14:schemeClr w14:val="tx1"/>
                  </w14:solidFill>
                </w14:textFill>
              </w:rPr>
              <w:t>5</w:t>
            </w: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w:t>
            </w:r>
            <w:r>
              <w:rPr>
                <w:rFonts w:hint="eastAsia" w:ascii="Times New Roman" w:cs="Times New Roman"/>
                <w:color w:val="000000" w:themeColor="text1"/>
                <w:kern w:val="2"/>
                <w:sz w:val="28"/>
                <w:szCs w:val="28"/>
                <w:vertAlign w:val="baseline"/>
                <w:lang w:val="en-US" w:eastAsia="zh-CN"/>
                <w14:textFill>
                  <w14:solidFill>
                    <w14:schemeClr w14:val="tx1"/>
                  </w14:solidFill>
                </w14:textFill>
              </w:rPr>
              <w:t>1</w:t>
            </w: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%计列</w:t>
            </w:r>
            <w:r>
              <w:rPr>
                <w:rFonts w:hint="eastAsia" w:ascii="Times New Roman" w:cs="Times New Roman"/>
                <w:color w:val="000000" w:themeColor="text1"/>
                <w:kern w:val="2"/>
                <w:sz w:val="28"/>
                <w:szCs w:val="28"/>
                <w:vertAlign w:val="baseline"/>
                <w:lang w:val="en-US" w:eastAsia="zh-CN"/>
                <w14:textFill>
                  <w14:solidFill>
                    <w14:schemeClr w14:val="tx1"/>
                  </w14:solidFill>
                </w14:textFill>
              </w:rPr>
              <w:t>；</w:t>
            </w: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其他项目参照以上相类似的项目执行。</w:t>
            </w:r>
          </w:p>
          <w:p>
            <w:pPr>
              <w:pStyle w:val="4"/>
              <w:keepNext w:val="0"/>
              <w:keepLines w:val="0"/>
              <w:widowControl/>
              <w:suppressLineNumbers w:val="0"/>
              <w:spacing w:before="0" w:beforeAutospacing="0" w:after="0" w:afterAutospacing="0"/>
              <w:ind w:left="0" w:right="0" w:firstLine="0"/>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pP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施工勘察</w:t>
            </w:r>
            <w:r>
              <w:rPr>
                <w:rFonts w:hint="eastAsia" w:ascii="Times New Roman" w:cs="Times New Roman"/>
                <w:color w:val="000000" w:themeColor="text1"/>
                <w:kern w:val="2"/>
                <w:sz w:val="28"/>
                <w:szCs w:val="28"/>
                <w:vertAlign w:val="baseline"/>
                <w:lang w:val="en-US" w:eastAsia="zh-CN"/>
                <w14:textFill>
                  <w14:solidFill>
                    <w14:schemeClr w14:val="tx1"/>
                  </w14:solidFill>
                </w14:textFill>
              </w:rPr>
              <w:t>管理：</w:t>
            </w: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各专业均按工程费用</w:t>
            </w:r>
          </w:p>
          <w:p>
            <w:pPr>
              <w:pStyle w:val="4"/>
              <w:keepNext w:val="0"/>
              <w:keepLines w:val="0"/>
              <w:widowControl/>
              <w:suppressLineNumbers w:val="0"/>
              <w:spacing w:before="0" w:beforeAutospacing="0" w:after="0" w:afterAutospacing="0"/>
              <w:ind w:left="0" w:right="0" w:firstLine="0"/>
              <w:rPr>
                <w:rFonts w:hint="eastAsia" w:ascii="Times New Roman"/>
                <w:color w:val="000000" w:themeColor="text1"/>
                <w:sz w:val="28"/>
                <w:szCs w:val="28"/>
                <w:vertAlign w:val="baseline"/>
                <w:lang w:val="en-US" w:eastAsia="zh-CN"/>
                <w14:textFill>
                  <w14:solidFill>
                    <w14:schemeClr w14:val="tx1"/>
                  </w14:solidFill>
                </w14:textFill>
              </w:rPr>
            </w:pPr>
            <w:r>
              <w:rPr>
                <w:rFonts w:hint="eastAsia" w:ascii="Times New Roman" w:cs="Times New Roman"/>
                <w:color w:val="000000" w:themeColor="text1"/>
                <w:kern w:val="2"/>
                <w:sz w:val="28"/>
                <w:szCs w:val="28"/>
                <w:vertAlign w:val="baseline"/>
                <w:lang w:val="en-US" w:eastAsia="zh-CN"/>
                <w14:textFill>
                  <w14:solidFill>
                    <w14:schemeClr w14:val="tx1"/>
                  </w14:solidFill>
                </w14:textFill>
              </w:rPr>
              <w:t>1.2</w:t>
            </w: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w:t>
            </w:r>
            <w:r>
              <w:rPr>
                <w:rFonts w:hint="eastAsia" w:ascii="Times New Roman" w:cs="Times New Roman"/>
                <w:color w:val="000000" w:themeColor="text1"/>
                <w:kern w:val="2"/>
                <w:sz w:val="28"/>
                <w:szCs w:val="28"/>
                <w:vertAlign w:val="baseline"/>
                <w:lang w:val="en-US" w:eastAsia="zh-CN"/>
                <w14:textFill>
                  <w14:solidFill>
                    <w14:schemeClr w14:val="tx1"/>
                  </w14:solidFill>
                </w14:textFill>
              </w:rPr>
              <w:t>1.8</w:t>
            </w:r>
            <w:r>
              <w:rPr>
                <w:rFonts w:hint="eastAsia" w:ascii="Times New Roman" w:hAnsi="Calibri" w:eastAsia="宋体" w:cs="Times New Roman"/>
                <w:color w:val="000000" w:themeColor="text1"/>
                <w:kern w:val="2"/>
                <w:sz w:val="28"/>
                <w:szCs w:val="28"/>
                <w:vertAlign w:val="baseline"/>
                <w:lang w:val="en-US" w:eastAsia="zh-CN"/>
                <w14:textFill>
                  <w14:solidFill>
                    <w14:schemeClr w14:val="tx1"/>
                  </w14:solidFill>
                </w14:textFill>
              </w:rPr>
              <w:t>%计列。</w:t>
            </w:r>
          </w:p>
        </w:tc>
      </w:tr>
    </w:tbl>
    <w:p>
      <w:pPr>
        <w:numPr>
          <w:ilvl w:val="0"/>
          <w:numId w:val="0"/>
        </w:numPr>
        <w:tabs>
          <w:tab w:val="left" w:pos="312"/>
        </w:tabs>
        <w:spacing w:line="360" w:lineRule="auto"/>
        <w:ind w:firstLine="562" w:firstLineChars="200"/>
        <w:rPr>
          <w:rFonts w:hint="eastAsia" w:ascii="Times New Roman"/>
          <w:b/>
          <w:bCs/>
          <w:color w:val="000000"/>
          <w:sz w:val="28"/>
          <w:szCs w:val="28"/>
          <w:lang w:val="en-US" w:eastAsia="zh-CN"/>
        </w:rPr>
      </w:pPr>
    </w:p>
    <w:p>
      <w:pPr>
        <w:numPr>
          <w:ilvl w:val="0"/>
          <w:numId w:val="0"/>
        </w:numPr>
        <w:tabs>
          <w:tab w:val="left" w:pos="312"/>
        </w:tabs>
        <w:spacing w:line="360" w:lineRule="auto"/>
        <w:ind w:firstLine="562" w:firstLineChars="200"/>
        <w:rPr>
          <w:rFonts w:hint="eastAsia" w:ascii="Times New Roman"/>
          <w:color w:val="000000"/>
          <w:sz w:val="28"/>
          <w:szCs w:val="28"/>
          <w:lang w:val="en-US" w:eastAsia="zh-CN"/>
        </w:rPr>
      </w:pPr>
      <w:r>
        <w:rPr>
          <w:rFonts w:hint="eastAsia" w:ascii="Times New Roman"/>
          <w:b/>
          <w:bCs/>
          <w:color w:val="000000"/>
          <w:sz w:val="28"/>
          <w:szCs w:val="28"/>
          <w:lang w:val="en-US" w:eastAsia="zh-CN"/>
        </w:rPr>
        <w:t>（二）工程设计技术咨询</w:t>
      </w:r>
    </w:p>
    <w:p>
      <w:pPr>
        <w:numPr>
          <w:ilvl w:val="0"/>
          <w:numId w:val="0"/>
        </w:numPr>
        <w:spacing w:line="360" w:lineRule="auto"/>
        <w:ind w:firstLine="562" w:firstLineChars="200"/>
        <w:rPr>
          <w:rFonts w:hint="eastAsia" w:ascii="Times New Roman"/>
          <w:b/>
          <w:bCs/>
          <w:color w:val="000000"/>
          <w:sz w:val="28"/>
          <w:szCs w:val="28"/>
          <w:lang w:val="en-US" w:eastAsia="zh-CN"/>
        </w:rPr>
      </w:pPr>
      <w:r>
        <w:rPr>
          <w:rFonts w:hint="eastAsia" w:ascii="Times New Roman"/>
          <w:b/>
          <w:bCs/>
          <w:color w:val="000000"/>
          <w:sz w:val="28"/>
          <w:szCs w:val="28"/>
          <w:lang w:val="en-US" w:eastAsia="zh-CN"/>
        </w:rPr>
        <w:t>1、主要工作内容：</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①工程咨询方可根据工程咨询合同约定，开展方案设计工作。</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②方案设计依据主要包括下列内容：</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相关法律法规、政策及工程设计标准。</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项目策划决策阶段咨询成果文件及其批复意见。</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工程咨询合同及工程设计任务书。</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内外部设计条件及设计案例等信息资料。</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③方案设计应确定项目范围及内容、建设标准、设计原则，将功能需求与空间造型相结合，比选和推荐项目主要技术方案。</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④方案设计应比选和推荐项目总图方案，还应确定主要设备选型。</w:t>
      </w:r>
    </w:p>
    <w:p>
      <w:pPr>
        <w:pStyle w:val="12"/>
        <w:overflowPunct w:val="0"/>
        <w:spacing w:line="360" w:lineRule="auto"/>
        <w:ind w:firstLine="560" w:firstLineChars="200"/>
        <w:rPr>
          <w:rFonts w:hint="default"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⑤方案设计应进行多方案</w:t>
      </w:r>
      <w:r>
        <w:rPr>
          <w:rFonts w:hint="eastAsia" w:ascii="Times New Roman" w:hAnsi="Calibri" w:cs="Times New Roman"/>
          <w:color w:val="000000"/>
          <w:kern w:val="2"/>
          <w:sz w:val="28"/>
          <w:szCs w:val="28"/>
          <w:lang w:val="en-US" w:eastAsia="zh-CN"/>
        </w:rPr>
        <w:t>比</w:t>
      </w:r>
      <w:r>
        <w:rPr>
          <w:rFonts w:hint="eastAsia" w:ascii="Times New Roman" w:hAnsi="Calibri" w:eastAsia="宋体" w:cs="Times New Roman"/>
          <w:color w:val="000000"/>
          <w:kern w:val="2"/>
          <w:sz w:val="28"/>
          <w:szCs w:val="28"/>
          <w:lang w:val="en-US" w:eastAsia="zh-CN"/>
        </w:rPr>
        <w:t>选，突出方案设计过程中的技术经济必选，确保选定的设计方案能够满足投资控制要求。</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⑥工程咨询方应根据工程咨询（设计）合同及工程设计任务书要求，向委托方提交方案设计成果。方案设计成果主要包括设计说明书（含投资估算表）和方案设计图纸、模型（实体模型或计算机虚拟模型）等。</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涉及建筑节能、环保、绿色建筑、人防等设计的，设计说明书中应有相应内容。涉及装配式建筑技术的，方案设计文件还应包括装配式建筑技术策划文件。</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⑦工程咨询方应配合委托方完成方案设计成果的审核验收。</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⑧工程咨询方应根据工程咨询合同约定，开展初步设计工作。</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⑨初步设计依据主要包括下列内容：</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相关法律法规、政策及工程设计标准。</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项目策划决策阶段咨询成果文件及其批复意见。</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工程勘察报告及审核通过的方案设计成果。</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工程咨询合同及工程设计任务书。</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工程设计相关基础资料。</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⑩初步设计应在确定设计原则和设计标准的基础上，明确建设规模，设计各专业主要设计方案和工艺流程，还应确定总平面布置。</w:t>
      </w:r>
    </w:p>
    <w:p>
      <w:pPr>
        <w:pStyle w:val="12"/>
        <w:overflowPunct w:val="0"/>
        <w:spacing w:line="360" w:lineRule="auto"/>
        <w:ind w:firstLine="42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1"/>
          <w:szCs w:val="21"/>
          <w:lang w:val="en-US" w:eastAsia="zh-CN"/>
        </w:rPr>
        <w:fldChar w:fldCharType="begin"/>
      </w:r>
      <w:r>
        <w:rPr>
          <w:rFonts w:hint="eastAsia" w:ascii="Times New Roman" w:hAnsi="Calibri" w:eastAsia="宋体" w:cs="Times New Roman"/>
          <w:color w:val="000000"/>
          <w:kern w:val="2"/>
          <w:sz w:val="21"/>
          <w:szCs w:val="21"/>
          <w:lang w:val="en-US" w:eastAsia="zh-CN"/>
        </w:rPr>
        <w:instrText xml:space="preserve"> EQ \o\ac(</w:instrText>
      </w:r>
      <w:r>
        <w:rPr>
          <w:rFonts w:hint="eastAsia" w:ascii="Times New Roman" w:hAnsi="Calibri" w:eastAsia="宋体" w:cs="Times New Roman"/>
          <w:color w:val="000000"/>
          <w:kern w:val="2"/>
          <w:position w:val="-4"/>
          <w:sz w:val="31"/>
          <w:szCs w:val="21"/>
          <w:lang w:val="en-US" w:eastAsia="zh-CN"/>
        </w:rPr>
        <w:instrText xml:space="preserve">○</w:instrText>
      </w:r>
      <w:r>
        <w:rPr>
          <w:rFonts w:hint="eastAsia" w:ascii="Times New Roman" w:hAnsi="Calibri" w:eastAsia="宋体" w:cs="Times New Roman"/>
          <w:color w:val="000000"/>
          <w:kern w:val="2"/>
          <w:position w:val="0"/>
          <w:sz w:val="21"/>
          <w:szCs w:val="21"/>
          <w:lang w:val="en-US" w:eastAsia="zh-CN"/>
        </w:rPr>
        <w:instrText xml:space="preserve">,11)</w:instrText>
      </w:r>
      <w:r>
        <w:rPr>
          <w:rFonts w:hint="eastAsia" w:ascii="Times New Roman" w:hAnsi="Calibri" w:eastAsia="宋体" w:cs="Times New Roman"/>
          <w:color w:val="000000"/>
          <w:kern w:val="2"/>
          <w:sz w:val="21"/>
          <w:szCs w:val="21"/>
          <w:lang w:val="en-US" w:eastAsia="zh-CN"/>
        </w:rPr>
        <w:fldChar w:fldCharType="end"/>
      </w:r>
      <w:r>
        <w:rPr>
          <w:rFonts w:hint="eastAsia" w:ascii="Times New Roman" w:hAnsi="Calibri" w:eastAsia="宋体" w:cs="Times New Roman"/>
          <w:color w:val="000000"/>
          <w:kern w:val="2"/>
          <w:sz w:val="28"/>
          <w:szCs w:val="28"/>
          <w:lang w:val="en-US" w:eastAsia="zh-CN"/>
        </w:rPr>
        <w:t>初步设计应确定能源介质参数和消耗，还应进行主要设备选型，并编制主要设备材料表及技术规格书。</w:t>
      </w:r>
    </w:p>
    <w:p>
      <w:pPr>
        <w:pStyle w:val="12"/>
        <w:overflowPunct w:val="0"/>
        <w:spacing w:line="360" w:lineRule="auto"/>
        <w:ind w:firstLine="48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4"/>
          <w:szCs w:val="24"/>
          <w:lang w:val="en-US" w:eastAsia="zh-CN"/>
        </w:rPr>
        <w:fldChar w:fldCharType="begin"/>
      </w:r>
      <w:r>
        <w:rPr>
          <w:rFonts w:hint="eastAsia" w:ascii="Times New Roman" w:hAnsi="Calibri" w:eastAsia="宋体" w:cs="Times New Roman"/>
          <w:color w:val="000000"/>
          <w:kern w:val="2"/>
          <w:sz w:val="24"/>
          <w:szCs w:val="24"/>
          <w:lang w:val="en-US" w:eastAsia="zh-CN"/>
        </w:rPr>
        <w:instrText xml:space="preserve"> EQ \o\ac(</w:instrText>
      </w:r>
      <w:r>
        <w:rPr>
          <w:rFonts w:hint="eastAsia" w:ascii="Times New Roman" w:hAnsi="Calibri" w:eastAsia="宋体" w:cs="Times New Roman"/>
          <w:color w:val="000000"/>
          <w:kern w:val="2"/>
          <w:position w:val="-4"/>
          <w:sz w:val="36"/>
          <w:szCs w:val="24"/>
          <w:lang w:val="en-US" w:eastAsia="zh-CN"/>
        </w:rPr>
        <w:instrText xml:space="preserve">○</w:instrText>
      </w:r>
      <w:r>
        <w:rPr>
          <w:rFonts w:hint="eastAsia" w:ascii="Times New Roman" w:hAnsi="Calibri" w:eastAsia="宋体" w:cs="Times New Roman"/>
          <w:color w:val="000000"/>
          <w:kern w:val="2"/>
          <w:position w:val="0"/>
          <w:sz w:val="24"/>
          <w:szCs w:val="24"/>
          <w:lang w:val="en-US" w:eastAsia="zh-CN"/>
        </w:rPr>
        <w:instrText xml:space="preserve">,12)</w:instrText>
      </w:r>
      <w:r>
        <w:rPr>
          <w:rFonts w:hint="eastAsia" w:ascii="Times New Roman" w:hAnsi="Calibri" w:eastAsia="宋体" w:cs="Times New Roman"/>
          <w:color w:val="000000"/>
          <w:kern w:val="2"/>
          <w:sz w:val="24"/>
          <w:szCs w:val="24"/>
          <w:lang w:val="en-US" w:eastAsia="zh-CN"/>
        </w:rPr>
        <w:fldChar w:fldCharType="end"/>
      </w:r>
      <w:r>
        <w:rPr>
          <w:rFonts w:hint="eastAsia" w:ascii="Times New Roman" w:hAnsi="Calibri" w:eastAsia="宋体" w:cs="Times New Roman"/>
          <w:color w:val="000000"/>
          <w:kern w:val="2"/>
          <w:sz w:val="28"/>
          <w:szCs w:val="28"/>
          <w:lang w:val="en-US" w:eastAsia="zh-CN"/>
        </w:rPr>
        <w:t>初步设计应绘制初步设计图纸，并应计算工程量和编制工程概算。工程总概算不应超过可行性研究投资估算总额。</w:t>
      </w:r>
    </w:p>
    <w:p>
      <w:pPr>
        <w:pStyle w:val="12"/>
        <w:overflowPunct w:val="0"/>
        <w:spacing w:line="360" w:lineRule="auto"/>
        <w:ind w:firstLine="48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4"/>
          <w:szCs w:val="24"/>
          <w:lang w:val="en-US" w:eastAsia="zh-CN"/>
        </w:rPr>
        <w:fldChar w:fldCharType="begin"/>
      </w:r>
      <w:r>
        <w:rPr>
          <w:rFonts w:hint="eastAsia" w:ascii="Times New Roman" w:hAnsi="Calibri" w:eastAsia="宋体" w:cs="Times New Roman"/>
          <w:color w:val="000000"/>
          <w:kern w:val="2"/>
          <w:sz w:val="24"/>
          <w:szCs w:val="24"/>
          <w:lang w:val="en-US" w:eastAsia="zh-CN"/>
        </w:rPr>
        <w:instrText xml:space="preserve"> EQ \o\ac(</w:instrText>
      </w:r>
      <w:r>
        <w:rPr>
          <w:rFonts w:hint="eastAsia" w:ascii="Times New Roman" w:hAnsi="Calibri" w:eastAsia="宋体" w:cs="Times New Roman"/>
          <w:color w:val="000000"/>
          <w:kern w:val="2"/>
          <w:position w:val="-4"/>
          <w:sz w:val="36"/>
          <w:szCs w:val="24"/>
          <w:lang w:val="en-US" w:eastAsia="zh-CN"/>
        </w:rPr>
        <w:instrText xml:space="preserve">○</w:instrText>
      </w:r>
      <w:r>
        <w:rPr>
          <w:rFonts w:hint="eastAsia" w:ascii="Times New Roman" w:hAnsi="Calibri" w:eastAsia="宋体" w:cs="Times New Roman"/>
          <w:color w:val="000000"/>
          <w:kern w:val="2"/>
          <w:position w:val="0"/>
          <w:sz w:val="24"/>
          <w:szCs w:val="24"/>
          <w:lang w:val="en-US" w:eastAsia="zh-CN"/>
        </w:rPr>
        <w:instrText xml:space="preserve">,13)</w:instrText>
      </w:r>
      <w:r>
        <w:rPr>
          <w:rFonts w:hint="eastAsia" w:ascii="Times New Roman" w:hAnsi="Calibri" w:eastAsia="宋体" w:cs="Times New Roman"/>
          <w:color w:val="000000"/>
          <w:kern w:val="2"/>
          <w:sz w:val="24"/>
          <w:szCs w:val="24"/>
          <w:lang w:val="en-US" w:eastAsia="zh-CN"/>
        </w:rPr>
        <w:fldChar w:fldCharType="end"/>
      </w:r>
      <w:r>
        <w:rPr>
          <w:rFonts w:hint="eastAsia" w:ascii="Times New Roman" w:hAnsi="Calibri" w:eastAsia="宋体" w:cs="Times New Roman"/>
          <w:color w:val="000000"/>
          <w:kern w:val="2"/>
          <w:sz w:val="28"/>
          <w:szCs w:val="28"/>
          <w:lang w:val="en-US" w:eastAsia="zh-CN"/>
        </w:rPr>
        <w:t>工程咨询方应根据工程咨询合同及工程设计任务书要求，向委托方提交初步设计成果。初步设计成果主要包括设计说明书、初步设计图纸、主要设备材料表及技术规格书、工程概算书和有关环保、人防、消防、安全、节能和抗震专篇。</w:t>
      </w:r>
    </w:p>
    <w:p>
      <w:pPr>
        <w:pStyle w:val="12"/>
        <w:overflowPunct w:val="0"/>
        <w:spacing w:line="360" w:lineRule="auto"/>
        <w:ind w:firstLine="42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1"/>
          <w:szCs w:val="21"/>
          <w:lang w:val="en-US" w:eastAsia="zh-CN"/>
        </w:rPr>
        <w:fldChar w:fldCharType="begin"/>
      </w:r>
      <w:r>
        <w:rPr>
          <w:rFonts w:hint="eastAsia" w:ascii="Times New Roman" w:hAnsi="Calibri" w:eastAsia="宋体" w:cs="Times New Roman"/>
          <w:color w:val="000000"/>
          <w:kern w:val="2"/>
          <w:sz w:val="21"/>
          <w:szCs w:val="21"/>
          <w:lang w:val="en-US" w:eastAsia="zh-CN"/>
        </w:rPr>
        <w:instrText xml:space="preserve"> EQ \o\ac(</w:instrText>
      </w:r>
      <w:r>
        <w:rPr>
          <w:rFonts w:hint="eastAsia" w:ascii="Times New Roman" w:hAnsi="Calibri" w:eastAsia="宋体" w:cs="Times New Roman"/>
          <w:color w:val="000000"/>
          <w:kern w:val="2"/>
          <w:position w:val="-4"/>
          <w:sz w:val="31"/>
          <w:szCs w:val="21"/>
          <w:lang w:val="en-US" w:eastAsia="zh-CN"/>
        </w:rPr>
        <w:instrText xml:space="preserve">○</w:instrText>
      </w:r>
      <w:r>
        <w:rPr>
          <w:rFonts w:hint="eastAsia" w:ascii="Times New Roman" w:hAnsi="Calibri" w:eastAsia="宋体" w:cs="Times New Roman"/>
          <w:color w:val="000000"/>
          <w:kern w:val="2"/>
          <w:position w:val="0"/>
          <w:sz w:val="21"/>
          <w:szCs w:val="21"/>
          <w:lang w:val="en-US" w:eastAsia="zh-CN"/>
        </w:rPr>
        <w:instrText xml:space="preserve">,14)</w:instrText>
      </w:r>
      <w:r>
        <w:rPr>
          <w:rFonts w:hint="eastAsia" w:ascii="Times New Roman" w:hAnsi="Calibri" w:eastAsia="宋体" w:cs="Times New Roman"/>
          <w:color w:val="000000"/>
          <w:kern w:val="2"/>
          <w:sz w:val="21"/>
          <w:szCs w:val="21"/>
          <w:lang w:val="en-US" w:eastAsia="zh-CN"/>
        </w:rPr>
        <w:fldChar w:fldCharType="end"/>
      </w:r>
      <w:r>
        <w:rPr>
          <w:rFonts w:hint="eastAsia" w:ascii="Times New Roman" w:hAnsi="Calibri" w:eastAsia="宋体" w:cs="Times New Roman"/>
          <w:color w:val="000000"/>
          <w:kern w:val="2"/>
          <w:sz w:val="28"/>
          <w:szCs w:val="28"/>
          <w:lang w:val="en-US" w:eastAsia="zh-CN"/>
        </w:rPr>
        <w:t>涉及绿色建筑、装配式建筑的，设计说明书中应有相应内容。</w:t>
      </w:r>
    </w:p>
    <w:p>
      <w:pPr>
        <w:pStyle w:val="12"/>
        <w:overflowPunct w:val="0"/>
        <w:spacing w:line="360" w:lineRule="auto"/>
        <w:ind w:firstLine="42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1"/>
          <w:szCs w:val="21"/>
          <w:lang w:val="en-US" w:eastAsia="zh-CN"/>
        </w:rPr>
        <w:fldChar w:fldCharType="begin"/>
      </w:r>
      <w:r>
        <w:rPr>
          <w:rFonts w:hint="eastAsia" w:ascii="Times New Roman" w:hAnsi="Calibri" w:eastAsia="宋体" w:cs="Times New Roman"/>
          <w:color w:val="000000"/>
          <w:kern w:val="2"/>
          <w:sz w:val="21"/>
          <w:szCs w:val="21"/>
          <w:lang w:val="en-US" w:eastAsia="zh-CN"/>
        </w:rPr>
        <w:instrText xml:space="preserve"> EQ \o\ac(</w:instrText>
      </w:r>
      <w:r>
        <w:rPr>
          <w:rFonts w:hint="eastAsia" w:ascii="Times New Roman" w:hAnsi="Calibri" w:eastAsia="宋体" w:cs="Times New Roman"/>
          <w:color w:val="000000"/>
          <w:kern w:val="2"/>
          <w:position w:val="-4"/>
          <w:sz w:val="31"/>
          <w:szCs w:val="21"/>
          <w:lang w:val="en-US" w:eastAsia="zh-CN"/>
        </w:rPr>
        <w:instrText xml:space="preserve">○</w:instrText>
      </w:r>
      <w:r>
        <w:rPr>
          <w:rFonts w:hint="eastAsia" w:ascii="Times New Roman" w:hAnsi="Calibri" w:eastAsia="宋体" w:cs="Times New Roman"/>
          <w:color w:val="000000"/>
          <w:kern w:val="2"/>
          <w:position w:val="0"/>
          <w:sz w:val="21"/>
          <w:szCs w:val="21"/>
          <w:lang w:val="en-US" w:eastAsia="zh-CN"/>
        </w:rPr>
        <w:instrText xml:space="preserve">,15)</w:instrText>
      </w:r>
      <w:r>
        <w:rPr>
          <w:rFonts w:hint="eastAsia" w:ascii="Times New Roman" w:hAnsi="Calibri" w:eastAsia="宋体" w:cs="Times New Roman"/>
          <w:color w:val="000000"/>
          <w:kern w:val="2"/>
          <w:sz w:val="21"/>
          <w:szCs w:val="21"/>
          <w:lang w:val="en-US" w:eastAsia="zh-CN"/>
        </w:rPr>
        <w:fldChar w:fldCharType="end"/>
      </w:r>
      <w:r>
        <w:rPr>
          <w:rFonts w:hint="eastAsia" w:ascii="Times New Roman" w:hAnsi="Calibri" w:eastAsia="宋体" w:cs="Times New Roman"/>
          <w:color w:val="000000"/>
          <w:kern w:val="2"/>
          <w:sz w:val="28"/>
          <w:szCs w:val="28"/>
          <w:lang w:val="en-US" w:eastAsia="zh-CN"/>
        </w:rPr>
        <w:t>工程咨询方应配合委托方完成初步设计成果的审核验收。</w:t>
      </w:r>
    </w:p>
    <w:p>
      <w:pPr>
        <w:pStyle w:val="12"/>
        <w:overflowPunct w:val="0"/>
        <w:spacing w:line="360" w:lineRule="auto"/>
        <w:ind w:firstLine="42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1"/>
          <w:szCs w:val="21"/>
          <w:lang w:val="en-US" w:eastAsia="zh-CN"/>
        </w:rPr>
        <w:fldChar w:fldCharType="begin"/>
      </w:r>
      <w:r>
        <w:rPr>
          <w:rFonts w:hint="eastAsia" w:ascii="Times New Roman" w:hAnsi="Calibri" w:eastAsia="宋体" w:cs="Times New Roman"/>
          <w:color w:val="000000"/>
          <w:kern w:val="2"/>
          <w:sz w:val="21"/>
          <w:szCs w:val="21"/>
          <w:lang w:val="en-US" w:eastAsia="zh-CN"/>
        </w:rPr>
        <w:instrText xml:space="preserve"> EQ \o\ac(</w:instrText>
      </w:r>
      <w:r>
        <w:rPr>
          <w:rFonts w:hint="eastAsia" w:ascii="Times New Roman" w:hAnsi="Calibri" w:eastAsia="宋体" w:cs="Times New Roman"/>
          <w:color w:val="000000"/>
          <w:kern w:val="2"/>
          <w:position w:val="-4"/>
          <w:sz w:val="31"/>
          <w:szCs w:val="21"/>
          <w:lang w:val="en-US" w:eastAsia="zh-CN"/>
        </w:rPr>
        <w:instrText xml:space="preserve">○</w:instrText>
      </w:r>
      <w:r>
        <w:rPr>
          <w:rFonts w:hint="eastAsia" w:ascii="Times New Roman" w:hAnsi="Calibri" w:eastAsia="宋体" w:cs="Times New Roman"/>
          <w:color w:val="000000"/>
          <w:kern w:val="2"/>
          <w:position w:val="0"/>
          <w:sz w:val="21"/>
          <w:szCs w:val="21"/>
          <w:lang w:val="en-US" w:eastAsia="zh-CN"/>
        </w:rPr>
        <w:instrText xml:space="preserve">,16)</w:instrText>
      </w:r>
      <w:r>
        <w:rPr>
          <w:rFonts w:hint="eastAsia" w:ascii="Times New Roman" w:hAnsi="Calibri" w:eastAsia="宋体" w:cs="Times New Roman"/>
          <w:color w:val="000000"/>
          <w:kern w:val="2"/>
          <w:sz w:val="21"/>
          <w:szCs w:val="21"/>
          <w:lang w:val="en-US" w:eastAsia="zh-CN"/>
        </w:rPr>
        <w:fldChar w:fldCharType="end"/>
      </w:r>
      <w:r>
        <w:rPr>
          <w:rFonts w:hint="eastAsia" w:ascii="Times New Roman" w:hAnsi="Calibri" w:eastAsia="宋体" w:cs="Times New Roman"/>
          <w:color w:val="000000"/>
          <w:kern w:val="2"/>
          <w:sz w:val="28"/>
          <w:szCs w:val="28"/>
          <w:lang w:val="en-US" w:eastAsia="zh-CN"/>
        </w:rPr>
        <w:t>工程咨询方可协助委托方办理初步设计文件报批手续。</w:t>
      </w:r>
    </w:p>
    <w:p>
      <w:pPr>
        <w:pStyle w:val="12"/>
        <w:overflowPunct w:val="0"/>
        <w:spacing w:line="360" w:lineRule="auto"/>
        <w:ind w:firstLine="42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1"/>
          <w:szCs w:val="21"/>
          <w:lang w:val="en-US" w:eastAsia="zh-CN"/>
        </w:rPr>
        <w:fldChar w:fldCharType="begin"/>
      </w:r>
      <w:r>
        <w:rPr>
          <w:rFonts w:hint="eastAsia" w:ascii="Times New Roman" w:hAnsi="Calibri" w:eastAsia="宋体" w:cs="Times New Roman"/>
          <w:color w:val="000000"/>
          <w:kern w:val="2"/>
          <w:sz w:val="21"/>
          <w:szCs w:val="21"/>
          <w:lang w:val="en-US" w:eastAsia="zh-CN"/>
        </w:rPr>
        <w:instrText xml:space="preserve"> EQ \o\ac(</w:instrText>
      </w:r>
      <w:r>
        <w:rPr>
          <w:rFonts w:hint="eastAsia" w:ascii="Times New Roman" w:hAnsi="Calibri" w:eastAsia="宋体" w:cs="Times New Roman"/>
          <w:color w:val="000000"/>
          <w:kern w:val="2"/>
          <w:position w:val="-4"/>
          <w:sz w:val="31"/>
          <w:szCs w:val="21"/>
          <w:lang w:val="en-US" w:eastAsia="zh-CN"/>
        </w:rPr>
        <w:instrText xml:space="preserve">○</w:instrText>
      </w:r>
      <w:r>
        <w:rPr>
          <w:rFonts w:hint="eastAsia" w:ascii="Times New Roman" w:hAnsi="Calibri" w:eastAsia="宋体" w:cs="Times New Roman"/>
          <w:color w:val="000000"/>
          <w:kern w:val="2"/>
          <w:position w:val="0"/>
          <w:sz w:val="21"/>
          <w:szCs w:val="21"/>
          <w:lang w:val="en-US" w:eastAsia="zh-CN"/>
        </w:rPr>
        <w:instrText xml:space="preserve">,17)</w:instrText>
      </w:r>
      <w:r>
        <w:rPr>
          <w:rFonts w:hint="eastAsia" w:ascii="Times New Roman" w:hAnsi="Calibri" w:eastAsia="宋体" w:cs="Times New Roman"/>
          <w:color w:val="000000"/>
          <w:kern w:val="2"/>
          <w:sz w:val="21"/>
          <w:szCs w:val="21"/>
          <w:lang w:val="en-US" w:eastAsia="zh-CN"/>
        </w:rPr>
        <w:fldChar w:fldCharType="end"/>
      </w:r>
      <w:r>
        <w:rPr>
          <w:rFonts w:hint="eastAsia" w:ascii="Times New Roman" w:hAnsi="Calibri" w:eastAsia="宋体" w:cs="Times New Roman"/>
          <w:color w:val="000000"/>
          <w:kern w:val="2"/>
          <w:sz w:val="28"/>
          <w:szCs w:val="28"/>
          <w:lang w:val="en-US" w:eastAsia="zh-CN"/>
        </w:rPr>
        <w:t>工程咨询方应根据工程咨询合同约定，开展施工图设计工作。</w:t>
      </w:r>
    </w:p>
    <w:p>
      <w:pPr>
        <w:pStyle w:val="12"/>
        <w:overflowPunct w:val="0"/>
        <w:spacing w:line="360" w:lineRule="auto"/>
        <w:ind w:firstLine="42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1"/>
          <w:szCs w:val="21"/>
          <w:lang w:val="en-US" w:eastAsia="zh-CN"/>
        </w:rPr>
        <w:fldChar w:fldCharType="begin"/>
      </w:r>
      <w:r>
        <w:rPr>
          <w:rFonts w:hint="eastAsia" w:ascii="Times New Roman" w:hAnsi="Calibri" w:eastAsia="宋体" w:cs="Times New Roman"/>
          <w:color w:val="000000"/>
          <w:kern w:val="2"/>
          <w:sz w:val="21"/>
          <w:szCs w:val="21"/>
          <w:lang w:val="en-US" w:eastAsia="zh-CN"/>
        </w:rPr>
        <w:instrText xml:space="preserve"> EQ \o\ac(</w:instrText>
      </w:r>
      <w:r>
        <w:rPr>
          <w:rFonts w:hint="eastAsia" w:ascii="Times New Roman" w:hAnsi="Calibri" w:eastAsia="宋体" w:cs="Times New Roman"/>
          <w:color w:val="000000"/>
          <w:kern w:val="2"/>
          <w:position w:val="-4"/>
          <w:sz w:val="31"/>
          <w:szCs w:val="21"/>
          <w:lang w:val="en-US" w:eastAsia="zh-CN"/>
        </w:rPr>
        <w:instrText xml:space="preserve">○</w:instrText>
      </w:r>
      <w:r>
        <w:rPr>
          <w:rFonts w:hint="eastAsia" w:ascii="Times New Roman" w:hAnsi="Calibri" w:eastAsia="宋体" w:cs="Times New Roman"/>
          <w:color w:val="000000"/>
          <w:kern w:val="2"/>
          <w:position w:val="0"/>
          <w:sz w:val="21"/>
          <w:szCs w:val="21"/>
          <w:lang w:val="en-US" w:eastAsia="zh-CN"/>
        </w:rPr>
        <w:instrText xml:space="preserve">,18)</w:instrText>
      </w:r>
      <w:r>
        <w:rPr>
          <w:rFonts w:hint="eastAsia" w:ascii="Times New Roman" w:hAnsi="Calibri" w:eastAsia="宋体" w:cs="Times New Roman"/>
          <w:color w:val="000000"/>
          <w:kern w:val="2"/>
          <w:sz w:val="21"/>
          <w:szCs w:val="21"/>
          <w:lang w:val="en-US" w:eastAsia="zh-CN"/>
        </w:rPr>
        <w:fldChar w:fldCharType="end"/>
      </w:r>
      <w:r>
        <w:rPr>
          <w:rFonts w:hint="eastAsia" w:ascii="Times New Roman" w:hAnsi="Calibri" w:eastAsia="宋体" w:cs="Times New Roman"/>
          <w:color w:val="000000"/>
          <w:kern w:val="2"/>
          <w:sz w:val="28"/>
          <w:szCs w:val="28"/>
          <w:lang w:val="en-US" w:eastAsia="zh-CN"/>
        </w:rPr>
        <w:t>施工图设计依据主要包括下列内容：</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相关法律法规、政策及工程设计标准。</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批准的初步设计成果文件及策划决策阶段咨询成果及其批复意见。</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工程（详细）勘察报告及有关设备、材料订货资料。</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工程咨询合同及工程设计任务书。</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工程设计相关基础资料。</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cs="Times New Roman"/>
          <w:color w:val="000000"/>
          <w:kern w:val="2"/>
          <w:sz w:val="28"/>
          <w:szCs w:val="28"/>
          <w:lang w:val="en-US" w:eastAsia="zh-CN"/>
        </w:rPr>
        <w:fldChar w:fldCharType="begin"/>
      </w:r>
      <w:r>
        <w:rPr>
          <w:rFonts w:hint="eastAsia" w:ascii="Times New Roman" w:hAnsi="Calibri" w:cs="Times New Roman"/>
          <w:color w:val="000000"/>
          <w:kern w:val="2"/>
          <w:sz w:val="28"/>
          <w:szCs w:val="28"/>
          <w:lang w:val="en-US" w:eastAsia="zh-CN"/>
        </w:rPr>
        <w:instrText xml:space="preserve"> EQ \o\ac(</w:instrText>
      </w:r>
      <w:r>
        <w:rPr>
          <w:rFonts w:hint="eastAsia" w:ascii="Times New Roman" w:hAnsi="Calibri" w:eastAsia="宋体"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eastAsia="宋体" w:cs="Times New Roman"/>
          <w:color w:val="000000"/>
          <w:kern w:val="2"/>
          <w:position w:val="3"/>
          <w:sz w:val="19"/>
          <w:szCs w:val="28"/>
          <w:lang w:val="en-US" w:eastAsia="zh-CN"/>
        </w:rPr>
        <w:instrText xml:space="preserve">19</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fldChar w:fldCharType="end"/>
      </w:r>
      <w:r>
        <w:rPr>
          <w:rFonts w:hint="eastAsia" w:ascii="Times New Roman" w:hAnsi="Calibri" w:eastAsia="宋体" w:cs="Times New Roman"/>
          <w:color w:val="000000"/>
          <w:kern w:val="2"/>
          <w:sz w:val="28"/>
          <w:szCs w:val="28"/>
          <w:lang w:val="en-US" w:eastAsia="zh-CN"/>
        </w:rPr>
        <w:t>施工图设计应落实设计条件和要求，解决专项技术问题，并应绘制工程施工、设备安装所需的全部图纸。对于重要施工、安装部位，还应编制施工操作说明。</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cs="Times New Roman"/>
          <w:color w:val="000000"/>
          <w:kern w:val="2"/>
          <w:sz w:val="28"/>
          <w:szCs w:val="28"/>
          <w:lang w:val="en-US" w:eastAsia="zh-CN"/>
        </w:rPr>
        <w:fldChar w:fldCharType="begin"/>
      </w:r>
      <w:r>
        <w:rPr>
          <w:rFonts w:hint="eastAsia" w:ascii="Times New Roman" w:hAnsi="Calibri" w:cs="Times New Roman"/>
          <w:color w:val="000000"/>
          <w:kern w:val="2"/>
          <w:sz w:val="28"/>
          <w:szCs w:val="28"/>
          <w:lang w:val="en-US" w:eastAsia="zh-CN"/>
        </w:rPr>
        <w:instrText xml:space="preserve"> EQ \o\ac(</w:instrText>
      </w:r>
      <w:r>
        <w:rPr>
          <w:rFonts w:hint="eastAsia" w:ascii="Times New Roman" w:hAnsi="Calibri" w:eastAsia="宋体"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eastAsia="宋体" w:cs="Times New Roman"/>
          <w:color w:val="000000"/>
          <w:kern w:val="2"/>
          <w:position w:val="3"/>
          <w:sz w:val="19"/>
          <w:szCs w:val="28"/>
          <w:lang w:val="en-US" w:eastAsia="zh-CN"/>
        </w:rPr>
        <w:instrText xml:space="preserve">20</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fldChar w:fldCharType="end"/>
      </w:r>
      <w:r>
        <w:rPr>
          <w:rFonts w:hint="eastAsia" w:ascii="Times New Roman" w:hAnsi="Calibri" w:eastAsia="宋体" w:cs="Times New Roman"/>
          <w:color w:val="000000"/>
          <w:kern w:val="2"/>
          <w:sz w:val="28"/>
          <w:szCs w:val="28"/>
          <w:lang w:val="en-US" w:eastAsia="zh-CN"/>
        </w:rPr>
        <w:t>施工图设计应提出设备、材料采购技术文件，并应详细说明非标准设备和结构件的加工制作要求。</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cs="Times New Roman"/>
          <w:color w:val="000000"/>
          <w:kern w:val="2"/>
          <w:sz w:val="28"/>
          <w:szCs w:val="28"/>
          <w:lang w:val="en-US" w:eastAsia="zh-CN"/>
        </w:rPr>
        <w:fldChar w:fldCharType="begin"/>
      </w:r>
      <w:r>
        <w:rPr>
          <w:rFonts w:hint="eastAsia" w:ascii="Times New Roman" w:hAnsi="Calibri" w:cs="Times New Roman"/>
          <w:color w:val="000000"/>
          <w:kern w:val="2"/>
          <w:sz w:val="28"/>
          <w:szCs w:val="28"/>
          <w:lang w:val="en-US" w:eastAsia="zh-CN"/>
        </w:rPr>
        <w:instrText xml:space="preserve"> EQ \o\ac(</w:instrText>
      </w:r>
      <w:r>
        <w:rPr>
          <w:rFonts w:hint="eastAsia" w:ascii="Times New Roman" w:hAnsi="Calibri" w:eastAsia="宋体"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eastAsia="宋体" w:cs="Times New Roman"/>
          <w:color w:val="000000"/>
          <w:kern w:val="2"/>
          <w:position w:val="3"/>
          <w:sz w:val="19"/>
          <w:szCs w:val="28"/>
          <w:lang w:val="en-US" w:eastAsia="zh-CN"/>
        </w:rPr>
        <w:instrText xml:space="preserve">21</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fldChar w:fldCharType="end"/>
      </w:r>
      <w:r>
        <w:rPr>
          <w:rFonts w:hint="eastAsia" w:ascii="Times New Roman" w:hAnsi="Calibri" w:eastAsia="宋体" w:cs="Times New Roman"/>
          <w:color w:val="000000"/>
          <w:kern w:val="2"/>
          <w:sz w:val="28"/>
          <w:szCs w:val="28"/>
          <w:lang w:val="en-US" w:eastAsia="zh-CN"/>
        </w:rPr>
        <w:t>施工图设计应编制施工图预算，为委托方提供招标工程量清单和招标控制价文件，为工程施工招标、工程竣工结算提供参考。施工图预算额不应超过批准的工程概算总额。</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cs="Times New Roman"/>
          <w:color w:val="000000"/>
          <w:kern w:val="2"/>
          <w:sz w:val="28"/>
          <w:szCs w:val="28"/>
          <w:lang w:val="en-US" w:eastAsia="zh-CN"/>
        </w:rPr>
        <w:fldChar w:fldCharType="begin"/>
      </w:r>
      <w:r>
        <w:rPr>
          <w:rFonts w:hint="eastAsia" w:ascii="Times New Roman" w:hAnsi="Calibri" w:cs="Times New Roman"/>
          <w:color w:val="000000"/>
          <w:kern w:val="2"/>
          <w:sz w:val="28"/>
          <w:szCs w:val="28"/>
          <w:lang w:val="en-US" w:eastAsia="zh-CN"/>
        </w:rPr>
        <w:instrText xml:space="preserve"> EQ \o\ac(</w:instrText>
      </w:r>
      <w:r>
        <w:rPr>
          <w:rFonts w:hint="eastAsia" w:ascii="Times New Roman" w:hAnsi="Calibri" w:eastAsia="宋体"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eastAsia="宋体" w:cs="Times New Roman"/>
          <w:color w:val="000000"/>
          <w:kern w:val="2"/>
          <w:position w:val="3"/>
          <w:sz w:val="19"/>
          <w:szCs w:val="28"/>
          <w:lang w:val="en-US" w:eastAsia="zh-CN"/>
        </w:rPr>
        <w:instrText xml:space="preserve">22</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fldChar w:fldCharType="end"/>
      </w:r>
      <w:r>
        <w:rPr>
          <w:rFonts w:hint="eastAsia" w:ascii="Times New Roman" w:hAnsi="Calibri" w:eastAsia="宋体" w:cs="Times New Roman"/>
          <w:color w:val="000000"/>
          <w:kern w:val="2"/>
          <w:sz w:val="28"/>
          <w:szCs w:val="28"/>
          <w:lang w:val="en-US" w:eastAsia="zh-CN"/>
        </w:rPr>
        <w:t>工程咨询方应根据工程咨询合同及工程设计任务书要求，向委托方提交施工图设计成果。施工图设计成果主要包括所有专业的设计图纸（含图纸目录、说明、设备表、材料表）、各专业工程计算书、计算机辅助设计软件及资料、施工图预算书。</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eastAsia="宋体" w:cs="Times New Roman"/>
          <w:color w:val="000000"/>
          <w:kern w:val="2"/>
          <w:sz w:val="28"/>
          <w:szCs w:val="28"/>
          <w:lang w:val="en-US" w:eastAsia="zh-CN"/>
        </w:rPr>
        <w:t>涉及建筑节能、装配式建筑设计的，设计说明及图纸应有相应设计内容。</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cs="Times New Roman"/>
          <w:color w:val="000000"/>
          <w:kern w:val="2"/>
          <w:sz w:val="28"/>
          <w:szCs w:val="28"/>
          <w:lang w:val="en-US" w:eastAsia="zh-CN"/>
        </w:rPr>
        <w:fldChar w:fldCharType="begin"/>
      </w:r>
      <w:r>
        <w:rPr>
          <w:rFonts w:hint="eastAsia" w:ascii="Times New Roman" w:hAnsi="Calibri" w:cs="Times New Roman"/>
          <w:color w:val="000000"/>
          <w:kern w:val="2"/>
          <w:sz w:val="28"/>
          <w:szCs w:val="28"/>
          <w:lang w:val="en-US" w:eastAsia="zh-CN"/>
        </w:rPr>
        <w:instrText xml:space="preserve"> EQ \o\ac(</w:instrText>
      </w:r>
      <w:r>
        <w:rPr>
          <w:rFonts w:hint="eastAsia" w:ascii="Times New Roman" w:hAnsi="Calibri" w:eastAsia="宋体"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eastAsia="宋体" w:cs="Times New Roman"/>
          <w:color w:val="000000"/>
          <w:kern w:val="2"/>
          <w:position w:val="3"/>
          <w:sz w:val="19"/>
          <w:szCs w:val="28"/>
          <w:lang w:val="en-US" w:eastAsia="zh-CN"/>
        </w:rPr>
        <w:instrText xml:space="preserve">23</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fldChar w:fldCharType="end"/>
      </w:r>
      <w:r>
        <w:rPr>
          <w:rFonts w:hint="eastAsia" w:ascii="Times New Roman" w:hAnsi="Calibri" w:eastAsia="宋体" w:cs="Times New Roman"/>
          <w:color w:val="000000"/>
          <w:kern w:val="2"/>
          <w:sz w:val="28"/>
          <w:szCs w:val="28"/>
          <w:lang w:val="en-US" w:eastAsia="zh-CN"/>
        </w:rPr>
        <w:t>工程咨询方应配合委托方提交施工图设计文件审查机构进行施工图设计文件审查。</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cs="Times New Roman"/>
          <w:color w:val="000000"/>
          <w:kern w:val="2"/>
          <w:sz w:val="28"/>
          <w:szCs w:val="28"/>
          <w:lang w:val="en-US" w:eastAsia="zh-CN"/>
        </w:rPr>
        <w:fldChar w:fldCharType="begin"/>
      </w:r>
      <w:r>
        <w:rPr>
          <w:rFonts w:hint="eastAsia" w:ascii="Times New Roman" w:hAnsi="Calibri" w:cs="Times New Roman"/>
          <w:color w:val="000000"/>
          <w:kern w:val="2"/>
          <w:sz w:val="28"/>
          <w:szCs w:val="28"/>
          <w:lang w:val="en-US" w:eastAsia="zh-CN"/>
        </w:rPr>
        <w:instrText xml:space="preserve"> EQ \o\ac(</w:instrText>
      </w:r>
      <w:r>
        <w:rPr>
          <w:rFonts w:hint="eastAsia" w:ascii="Times New Roman" w:hAnsi="Calibri" w:eastAsia="宋体"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eastAsia="宋体" w:cs="Times New Roman"/>
          <w:color w:val="000000"/>
          <w:kern w:val="2"/>
          <w:position w:val="3"/>
          <w:sz w:val="19"/>
          <w:szCs w:val="28"/>
          <w:lang w:val="en-US" w:eastAsia="zh-CN"/>
        </w:rPr>
        <w:instrText xml:space="preserve">24</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fldChar w:fldCharType="end"/>
      </w:r>
      <w:r>
        <w:rPr>
          <w:rFonts w:hint="eastAsia" w:ascii="Times New Roman" w:hAnsi="Calibri" w:eastAsia="宋体" w:cs="Times New Roman"/>
          <w:color w:val="000000"/>
          <w:kern w:val="2"/>
          <w:sz w:val="28"/>
          <w:szCs w:val="28"/>
          <w:lang w:val="en-US" w:eastAsia="zh-CN"/>
        </w:rPr>
        <w:t>工程咨询方应参加委托方组织的设计交底和图纸会审会议，详细阐释施工图设计意图及施工中应注意的事项，并应澄清所提出的问题。</w:t>
      </w:r>
    </w:p>
    <w:p>
      <w:pPr>
        <w:pStyle w:val="12"/>
        <w:overflowPunct w:val="0"/>
        <w:spacing w:line="360" w:lineRule="auto"/>
        <w:ind w:firstLine="560" w:firstLineChars="200"/>
        <w:rPr>
          <w:rFonts w:hint="eastAsia" w:ascii="Times New Roman" w:hAnsi="Calibri" w:eastAsia="宋体" w:cs="Times New Roman"/>
          <w:color w:val="000000"/>
          <w:kern w:val="2"/>
          <w:sz w:val="28"/>
          <w:szCs w:val="28"/>
          <w:lang w:val="en-US" w:eastAsia="zh-CN"/>
        </w:rPr>
      </w:pPr>
      <w:r>
        <w:rPr>
          <w:rFonts w:hint="eastAsia" w:ascii="Times New Roman" w:hAnsi="Calibri" w:cs="Times New Roman"/>
          <w:color w:val="000000"/>
          <w:kern w:val="2"/>
          <w:sz w:val="28"/>
          <w:szCs w:val="28"/>
          <w:lang w:val="en-US" w:eastAsia="zh-CN"/>
        </w:rPr>
        <w:fldChar w:fldCharType="begin"/>
      </w:r>
      <w:r>
        <w:rPr>
          <w:rFonts w:hint="eastAsia" w:ascii="Times New Roman" w:hAnsi="Calibri" w:cs="Times New Roman"/>
          <w:color w:val="000000"/>
          <w:kern w:val="2"/>
          <w:sz w:val="28"/>
          <w:szCs w:val="28"/>
          <w:lang w:val="en-US" w:eastAsia="zh-CN"/>
        </w:rPr>
        <w:instrText xml:space="preserve"> EQ \o\ac(</w:instrText>
      </w:r>
      <w:r>
        <w:rPr>
          <w:rFonts w:hint="eastAsia" w:ascii="Times New Roman" w:hAnsi="Calibri" w:eastAsia="宋体"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eastAsia="宋体" w:cs="Times New Roman"/>
          <w:color w:val="000000"/>
          <w:kern w:val="2"/>
          <w:position w:val="3"/>
          <w:sz w:val="19"/>
          <w:szCs w:val="28"/>
          <w:lang w:val="en-US" w:eastAsia="zh-CN"/>
        </w:rPr>
        <w:instrText xml:space="preserve">25</w:instrText>
      </w:r>
      <w:r>
        <w:rPr>
          <w:rFonts w:hint="eastAsia" w:ascii="Times New Roman" w:hAnsi="Calibri" w:cs="Times New Roman"/>
          <w:color w:val="000000"/>
          <w:kern w:val="2"/>
          <w:sz w:val="28"/>
          <w:szCs w:val="28"/>
          <w:lang w:val="en-US" w:eastAsia="zh-CN"/>
        </w:rPr>
        <w:instrText xml:space="preserve">)</w:instrText>
      </w:r>
      <w:r>
        <w:rPr>
          <w:rFonts w:hint="eastAsia" w:ascii="Times New Roman" w:hAnsi="Calibri" w:cs="Times New Roman"/>
          <w:color w:val="000000"/>
          <w:kern w:val="2"/>
          <w:sz w:val="28"/>
          <w:szCs w:val="28"/>
          <w:lang w:val="en-US" w:eastAsia="zh-CN"/>
        </w:rPr>
        <w:fldChar w:fldCharType="end"/>
      </w:r>
      <w:r>
        <w:rPr>
          <w:rFonts w:hint="eastAsia" w:ascii="Times New Roman" w:hAnsi="Calibri" w:eastAsia="宋体" w:cs="Times New Roman"/>
          <w:color w:val="000000"/>
          <w:kern w:val="2"/>
          <w:sz w:val="28"/>
          <w:szCs w:val="28"/>
          <w:lang w:val="en-US" w:eastAsia="zh-CN"/>
        </w:rPr>
        <w:t>工程咨询方应在工程施工过程中提供设计服务，处理设计变更事宜，还应参加主要分部工程验收和工程竣工验收并签署验收意见。</w:t>
      </w:r>
    </w:p>
    <w:p>
      <w:pPr>
        <w:numPr>
          <w:ilvl w:val="0"/>
          <w:numId w:val="0"/>
        </w:numPr>
        <w:spacing w:line="360" w:lineRule="auto"/>
        <w:ind w:firstLine="562" w:firstLineChars="200"/>
        <w:rPr>
          <w:rFonts w:hint="eastAsia" w:ascii="Times New Roman" w:cs="Times New Roman"/>
          <w:color w:val="000000"/>
          <w:sz w:val="28"/>
          <w:szCs w:val="28"/>
          <w:lang w:val="en-US" w:eastAsia="zh-CN"/>
        </w:rPr>
      </w:pPr>
      <w:r>
        <w:rPr>
          <w:rFonts w:hint="eastAsia" w:ascii="Times New Roman" w:cs="Times New Roman"/>
          <w:b/>
          <w:bCs/>
          <w:color w:val="000000"/>
          <w:sz w:val="28"/>
          <w:szCs w:val="28"/>
          <w:lang w:val="en-US" w:eastAsia="zh-CN"/>
        </w:rPr>
        <w:t>2、收费标准：</w:t>
      </w:r>
      <w:r>
        <w:rPr>
          <w:rFonts w:hint="eastAsia" w:ascii="Times New Roman" w:cs="Times New Roman"/>
          <w:color w:val="000000"/>
          <w:sz w:val="28"/>
          <w:szCs w:val="28"/>
          <w:lang w:val="en-US" w:eastAsia="zh-CN"/>
        </w:rPr>
        <w:t>参考《桂建标〔2018〕37号》的工程设计费。</w:t>
      </w:r>
    </w:p>
    <w:tbl>
      <w:tblPr>
        <w:tblStyle w:val="6"/>
        <w:tblpPr w:leftFromText="180" w:rightFromText="180" w:vertAnchor="text" w:horzAnchor="page" w:tblpXSpec="center" w:tblpY="602"/>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350"/>
        <w:gridCol w:w="1287"/>
        <w:gridCol w:w="975"/>
        <w:gridCol w:w="930"/>
        <w:gridCol w:w="1005"/>
        <w:gridCol w:w="1260"/>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Merge w:val="restart"/>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pPr>
            <w:r>
              <w:rPr>
                <w:rFonts w:ascii="宋体" w:hAnsi="宋体" w:eastAsia="宋体" w:cs="宋体"/>
                <w:color w:val="000000"/>
                <w:spacing w:val="0"/>
                <w:w w:val="100"/>
                <w:position w:val="0"/>
                <w:sz w:val="28"/>
                <w:szCs w:val="28"/>
              </w:rPr>
              <w:t>序号</w:t>
            </w:r>
          </w:p>
        </w:tc>
        <w:tc>
          <w:tcPr>
            <w:tcW w:w="1350" w:type="dxa"/>
          </w:tcPr>
          <w:p>
            <w:pPr>
              <w:widowControl w:val="0"/>
              <w:shd w:val="clear"/>
              <w:spacing w:line="360" w:lineRule="exact"/>
              <w:rPr>
                <w:rFonts w:hint="eastAsia" w:eastAsia="宋体"/>
                <w:sz w:val="28"/>
                <w:szCs w:val="28"/>
                <w:vertAlign w:val="baseline"/>
                <w:lang w:eastAsia="zh-CN"/>
              </w:rPr>
            </w:pPr>
            <w:r>
              <w:rPr>
                <w:rFonts w:hint="eastAsia" w:eastAsia="宋体"/>
                <w:sz w:val="28"/>
                <w:szCs w:val="28"/>
                <w:vertAlign w:val="baseline"/>
                <w:lang w:eastAsia="zh-CN"/>
              </w:rPr>
              <w:t>工程费计费额</w:t>
            </w:r>
          </w:p>
        </w:tc>
        <w:tc>
          <w:tcPr>
            <w:tcW w:w="1287" w:type="dxa"/>
          </w:tcPr>
          <w:p>
            <w:pPr>
              <w:widowControl w:val="0"/>
              <w:shd w:val="clear"/>
              <w:spacing w:line="360" w:lineRule="exact"/>
              <w:rPr>
                <w:rFonts w:hint="eastAsia" w:eastAsia="宋体"/>
                <w:sz w:val="28"/>
                <w:szCs w:val="28"/>
                <w:vertAlign w:val="baseline"/>
                <w:lang w:eastAsia="zh-CN"/>
              </w:rPr>
            </w:pPr>
            <w:r>
              <w:rPr>
                <w:rFonts w:hint="eastAsia"/>
                <w:sz w:val="28"/>
                <w:szCs w:val="28"/>
                <w:vertAlign w:val="baseline"/>
                <w:lang w:eastAsia="zh-CN"/>
              </w:rPr>
              <w:t>设计</w:t>
            </w:r>
            <w:r>
              <w:rPr>
                <w:rFonts w:hint="eastAsia" w:eastAsia="宋体"/>
                <w:sz w:val="28"/>
                <w:szCs w:val="28"/>
                <w:vertAlign w:val="baseline"/>
                <w:lang w:eastAsia="zh-CN"/>
              </w:rPr>
              <w:t>费基价</w:t>
            </w:r>
          </w:p>
        </w:tc>
        <w:tc>
          <w:tcPr>
            <w:tcW w:w="4170" w:type="dxa"/>
            <w:gridSpan w:val="4"/>
          </w:tcPr>
          <w:p>
            <w:pPr>
              <w:widowControl w:val="0"/>
              <w:shd w:val="clear"/>
              <w:spacing w:line="360" w:lineRule="exact"/>
              <w:jc w:val="center"/>
              <w:rPr>
                <w:rFonts w:hint="eastAsia" w:eastAsia="宋体"/>
                <w:sz w:val="28"/>
                <w:szCs w:val="28"/>
                <w:vertAlign w:val="baseline"/>
                <w:lang w:eastAsia="zh-CN"/>
              </w:rPr>
            </w:pPr>
            <w:r>
              <w:rPr>
                <w:rFonts w:hint="eastAsia" w:eastAsia="宋体"/>
                <w:sz w:val="28"/>
                <w:szCs w:val="28"/>
                <w:vertAlign w:val="baseline"/>
                <w:lang w:eastAsia="zh-CN"/>
              </w:rPr>
              <w:t>工程复杂程度调整系数</w:t>
            </w:r>
          </w:p>
        </w:tc>
        <w:tc>
          <w:tcPr>
            <w:tcW w:w="1758" w:type="dxa"/>
            <w:vMerge w:val="restart"/>
            <w:vAlign w:val="center"/>
          </w:tcPr>
          <w:p>
            <w:pPr>
              <w:widowControl w:val="0"/>
              <w:shd w:val="clear"/>
              <w:spacing w:line="360" w:lineRule="exact"/>
              <w:jc w:val="center"/>
              <w:rPr>
                <w:rFonts w:hint="eastAsia"/>
                <w:sz w:val="28"/>
                <w:szCs w:val="28"/>
                <w:vertAlign w:val="baseline"/>
                <w:lang w:eastAsia="zh-CN"/>
              </w:rPr>
            </w:pPr>
            <w:r>
              <w:rPr>
                <w:rFonts w:hint="eastAsia"/>
                <w:sz w:val="28"/>
                <w:szCs w:val="28"/>
                <w:vertAlign w:val="baseline"/>
                <w:lang w:eastAsia="zh-CN"/>
              </w:rPr>
              <w:t>设计管理咨询收费</w:t>
            </w:r>
          </w:p>
          <w:p>
            <w:pPr>
              <w:widowControl w:val="0"/>
              <w:shd w:val="clear"/>
              <w:spacing w:line="360" w:lineRule="exact"/>
              <w:jc w:val="center"/>
              <w:rPr>
                <w:rFonts w:hint="eastAsia"/>
                <w:sz w:val="28"/>
                <w:szCs w:val="28"/>
                <w:vertAlign w:val="baseline"/>
                <w:lang w:eastAsia="zh-CN"/>
              </w:rPr>
            </w:pPr>
            <w:r>
              <w:rPr>
                <w:rFonts w:hint="eastAsia"/>
                <w:sz w:val="28"/>
                <w:szCs w:val="28"/>
                <w:vertAlign w:val="baseli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Merge w:val="continue"/>
          </w:tcPr>
          <w:p>
            <w:pPr>
              <w:widowControl w:val="0"/>
              <w:shd w:val="clear"/>
              <w:spacing w:line="360" w:lineRule="exact"/>
              <w:jc w:val="center"/>
              <w:rPr>
                <w:sz w:val="28"/>
                <w:szCs w:val="28"/>
                <w:vertAlign w:val="baseline"/>
              </w:rPr>
            </w:pPr>
          </w:p>
        </w:tc>
        <w:tc>
          <w:tcPr>
            <w:tcW w:w="2637" w:type="dxa"/>
            <w:gridSpan w:val="2"/>
            <w:vAlign w:val="center"/>
          </w:tcPr>
          <w:p>
            <w:pPr>
              <w:widowControl w:val="0"/>
              <w:shd w:val="clear"/>
              <w:spacing w:line="360" w:lineRule="exact"/>
              <w:jc w:val="center"/>
              <w:rPr>
                <w:rFonts w:hint="eastAsia" w:eastAsia="宋体"/>
                <w:sz w:val="28"/>
                <w:szCs w:val="28"/>
                <w:vertAlign w:val="baseline"/>
                <w:lang w:eastAsia="zh-CN"/>
              </w:rPr>
            </w:pPr>
            <w:r>
              <w:rPr>
                <w:rFonts w:hint="eastAsia" w:eastAsia="宋体"/>
                <w:sz w:val="28"/>
                <w:szCs w:val="28"/>
                <w:vertAlign w:val="baseline"/>
                <w:lang w:eastAsia="zh-CN"/>
              </w:rPr>
              <w:t>（万元）</w:t>
            </w:r>
          </w:p>
        </w:tc>
        <w:tc>
          <w:tcPr>
            <w:tcW w:w="975" w:type="dxa"/>
          </w:tcPr>
          <w:p>
            <w:pPr>
              <w:widowControl w:val="0"/>
              <w:shd w:val="clear"/>
              <w:spacing w:line="360" w:lineRule="exact"/>
              <w:rPr>
                <w:rFonts w:hint="eastAsia" w:eastAsia="宋体"/>
                <w:sz w:val="28"/>
                <w:szCs w:val="28"/>
                <w:vertAlign w:val="baseline"/>
                <w:lang w:eastAsia="zh-CN"/>
              </w:rPr>
            </w:pPr>
            <w:r>
              <w:rPr>
                <w:rFonts w:hint="eastAsia" w:eastAsia="宋体"/>
                <w:sz w:val="28"/>
                <w:szCs w:val="28"/>
                <w:vertAlign w:val="baseline"/>
                <w:lang w:eastAsia="zh-CN"/>
              </w:rPr>
              <w:t>简单工程</w:t>
            </w:r>
          </w:p>
        </w:tc>
        <w:tc>
          <w:tcPr>
            <w:tcW w:w="930" w:type="dxa"/>
          </w:tcPr>
          <w:p>
            <w:pPr>
              <w:widowControl w:val="0"/>
              <w:shd w:val="clear"/>
              <w:spacing w:line="360" w:lineRule="exact"/>
              <w:rPr>
                <w:rFonts w:hint="eastAsia" w:eastAsia="宋体"/>
                <w:sz w:val="28"/>
                <w:szCs w:val="28"/>
                <w:vertAlign w:val="baseline"/>
                <w:lang w:eastAsia="zh-CN"/>
              </w:rPr>
            </w:pPr>
            <w:r>
              <w:rPr>
                <w:rFonts w:hint="eastAsia" w:eastAsia="宋体"/>
                <w:sz w:val="28"/>
                <w:szCs w:val="28"/>
                <w:vertAlign w:val="baseline"/>
                <w:lang w:eastAsia="zh-CN"/>
              </w:rPr>
              <w:t>一般工程</w:t>
            </w:r>
          </w:p>
        </w:tc>
        <w:tc>
          <w:tcPr>
            <w:tcW w:w="1005" w:type="dxa"/>
          </w:tcPr>
          <w:p>
            <w:pPr>
              <w:widowControl w:val="0"/>
              <w:shd w:val="clear"/>
              <w:spacing w:line="360" w:lineRule="exact"/>
              <w:jc w:val="left"/>
              <w:rPr>
                <w:rFonts w:hint="eastAsia" w:eastAsia="宋体"/>
                <w:sz w:val="28"/>
                <w:szCs w:val="28"/>
                <w:vertAlign w:val="baseline"/>
                <w:lang w:eastAsia="zh-CN"/>
              </w:rPr>
            </w:pPr>
            <w:r>
              <w:rPr>
                <w:rFonts w:hint="eastAsia" w:eastAsia="宋体"/>
                <w:sz w:val="28"/>
                <w:szCs w:val="28"/>
                <w:vertAlign w:val="baseline"/>
                <w:lang w:eastAsia="zh-CN"/>
              </w:rPr>
              <w:t>复杂工程</w:t>
            </w:r>
          </w:p>
        </w:tc>
        <w:tc>
          <w:tcPr>
            <w:tcW w:w="1260" w:type="dxa"/>
          </w:tcPr>
          <w:p>
            <w:pPr>
              <w:widowControl w:val="0"/>
              <w:shd w:val="clear"/>
              <w:spacing w:line="360" w:lineRule="exact"/>
              <w:rPr>
                <w:rFonts w:hint="eastAsia" w:eastAsia="宋体"/>
                <w:sz w:val="28"/>
                <w:szCs w:val="28"/>
                <w:vertAlign w:val="baseline"/>
                <w:lang w:eastAsia="zh-CN"/>
              </w:rPr>
            </w:pPr>
            <w:r>
              <w:rPr>
                <w:rFonts w:hint="eastAsia" w:eastAsia="宋体"/>
                <w:sz w:val="28"/>
                <w:szCs w:val="28"/>
                <w:vertAlign w:val="baseline"/>
                <w:lang w:eastAsia="zh-CN"/>
              </w:rPr>
              <w:t>特别复杂工程</w:t>
            </w:r>
          </w:p>
        </w:tc>
        <w:tc>
          <w:tcPr>
            <w:tcW w:w="1758" w:type="dxa"/>
            <w:vMerge w:val="continue"/>
          </w:tcPr>
          <w:p>
            <w:pPr>
              <w:widowControl w:val="0"/>
              <w:shd w:val="clear"/>
              <w:spacing w:line="360" w:lineRule="exact"/>
              <w:rPr>
                <w:rFonts w:hint="eastAsia"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pPr>
              <w:widowControl w:val="0"/>
              <w:shd w:val="clear"/>
              <w:spacing w:line="360" w:lineRule="exact"/>
              <w:jc w:val="center"/>
              <w:rPr>
                <w:rFonts w:hint="eastAsia" w:eastAsia="宋体"/>
                <w:sz w:val="28"/>
                <w:szCs w:val="28"/>
                <w:vertAlign w:val="baseline"/>
                <w:lang w:val="zh-TW" w:eastAsia="zh-CN"/>
              </w:rPr>
            </w:pPr>
            <w:r>
              <w:rPr>
                <w:rFonts w:hint="eastAsia" w:eastAsia="宋体"/>
                <w:sz w:val="28"/>
                <w:szCs w:val="28"/>
                <w:vertAlign w:val="baseline"/>
                <w:lang w:val="en-US" w:eastAsia="zh-CN"/>
              </w:rPr>
              <w:t>1</w:t>
            </w:r>
          </w:p>
        </w:tc>
        <w:tc>
          <w:tcPr>
            <w:tcW w:w="1350"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zh-CN"/>
              </w:rPr>
              <w:t>200</w:t>
            </w:r>
          </w:p>
        </w:tc>
        <w:tc>
          <w:tcPr>
            <w:tcW w:w="1287"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en-US"/>
              </w:rPr>
              <w:t>8.10</w:t>
            </w:r>
          </w:p>
        </w:tc>
        <w:tc>
          <w:tcPr>
            <w:tcW w:w="975" w:type="dxa"/>
            <w:vMerge w:val="restart"/>
            <w:vAlign w:val="center"/>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0.85</w:t>
            </w:r>
          </w:p>
        </w:tc>
        <w:tc>
          <w:tcPr>
            <w:tcW w:w="930" w:type="dxa"/>
            <w:vMerge w:val="restart"/>
            <w:vAlign w:val="center"/>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1.0</w:t>
            </w:r>
          </w:p>
        </w:tc>
        <w:tc>
          <w:tcPr>
            <w:tcW w:w="1005" w:type="dxa"/>
            <w:vMerge w:val="restart"/>
            <w:vAlign w:val="center"/>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1.15</w:t>
            </w:r>
          </w:p>
        </w:tc>
        <w:tc>
          <w:tcPr>
            <w:tcW w:w="1260" w:type="dxa"/>
            <w:vMerge w:val="restart"/>
            <w:vAlign w:val="center"/>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1.3</w:t>
            </w:r>
          </w:p>
        </w:tc>
        <w:tc>
          <w:tcPr>
            <w:tcW w:w="1758" w:type="dxa"/>
            <w:vAlign w:val="center"/>
          </w:tcPr>
          <w:p>
            <w:pPr>
              <w:widowControl w:val="0"/>
              <w:shd w:val="clear" w:color="auto" w:fill="auto"/>
              <w:spacing w:line="360" w:lineRule="exact"/>
              <w:rPr>
                <w:rFonts w:hint="eastAsia" w:eastAsia="宋体"/>
                <w:sz w:val="28"/>
                <w:szCs w:val="28"/>
                <w:vertAlign w:val="baseline"/>
                <w:lang w:val="en-US" w:eastAsia="zh-CN"/>
              </w:rPr>
            </w:pPr>
            <w:r>
              <w:rPr>
                <w:rFonts w:hint="eastAsia" w:eastAsia="宋体"/>
                <w:sz w:val="28"/>
                <w:szCs w:val="28"/>
                <w:vertAlign w:val="baseline"/>
                <w:lang w:val="en-US" w:eastAsia="zh-CN"/>
              </w:rPr>
              <w:t xml:space="preserve">2.43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pPr>
              <w:widowControl w:val="0"/>
              <w:shd w:val="clear"/>
              <w:spacing w:line="360" w:lineRule="exact"/>
              <w:jc w:val="center"/>
              <w:rPr>
                <w:rFonts w:hint="eastAsia" w:eastAsia="宋体"/>
                <w:sz w:val="28"/>
                <w:szCs w:val="28"/>
                <w:vertAlign w:val="baseline"/>
                <w:lang w:val="zh-TW" w:eastAsia="zh-TW"/>
              </w:rPr>
            </w:pPr>
            <w:r>
              <w:rPr>
                <w:rFonts w:hint="eastAsia" w:eastAsia="宋体"/>
                <w:sz w:val="28"/>
                <w:szCs w:val="28"/>
                <w:vertAlign w:val="baseline"/>
                <w:lang w:val="en-US" w:eastAsia="zh-CN"/>
              </w:rPr>
              <w:t>2</w:t>
            </w:r>
          </w:p>
        </w:tc>
        <w:tc>
          <w:tcPr>
            <w:tcW w:w="1350"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zh-CN"/>
              </w:rPr>
              <w:t>500</w:t>
            </w:r>
          </w:p>
        </w:tc>
        <w:tc>
          <w:tcPr>
            <w:tcW w:w="1287"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en-US"/>
              </w:rPr>
              <w:t>18.81</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5.64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pPr>
              <w:widowControl w:val="0"/>
              <w:shd w:val="clear"/>
              <w:spacing w:line="360" w:lineRule="exact"/>
              <w:jc w:val="center"/>
              <w:rPr>
                <w:rFonts w:hint="eastAsia" w:eastAsia="宋体"/>
                <w:sz w:val="28"/>
                <w:szCs w:val="28"/>
                <w:vertAlign w:val="baseline"/>
                <w:lang w:val="zh-TW" w:eastAsia="zh-TW"/>
              </w:rPr>
            </w:pPr>
            <w:r>
              <w:rPr>
                <w:rFonts w:hint="eastAsia" w:eastAsia="宋体"/>
                <w:sz w:val="28"/>
                <w:szCs w:val="28"/>
                <w:vertAlign w:val="baseline"/>
                <w:lang w:val="en-US" w:eastAsia="zh-CN"/>
              </w:rPr>
              <w:t>3</w:t>
            </w:r>
          </w:p>
        </w:tc>
        <w:tc>
          <w:tcPr>
            <w:tcW w:w="1350"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zh-CN"/>
              </w:rPr>
              <w:t>1000</w:t>
            </w:r>
          </w:p>
        </w:tc>
        <w:tc>
          <w:tcPr>
            <w:tcW w:w="1287"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en-US"/>
              </w:rPr>
              <w:t>34.92</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10.48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pPr>
              <w:widowControl w:val="0"/>
              <w:shd w:val="clear"/>
              <w:spacing w:line="360" w:lineRule="exact"/>
              <w:jc w:val="center"/>
              <w:rPr>
                <w:rFonts w:hint="eastAsia" w:eastAsia="宋体"/>
                <w:sz w:val="28"/>
                <w:szCs w:val="28"/>
                <w:vertAlign w:val="baseline"/>
                <w:lang w:val="zh-TW" w:eastAsia="zh-TW"/>
              </w:rPr>
            </w:pPr>
            <w:r>
              <w:rPr>
                <w:rFonts w:hint="eastAsia" w:eastAsia="宋体"/>
                <w:sz w:val="28"/>
                <w:szCs w:val="28"/>
                <w:vertAlign w:val="baseline"/>
                <w:lang w:val="en-US" w:eastAsia="zh-CN"/>
              </w:rPr>
              <w:t>4</w:t>
            </w:r>
          </w:p>
        </w:tc>
        <w:tc>
          <w:tcPr>
            <w:tcW w:w="1350"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zh-CN"/>
              </w:rPr>
              <w:t>3000</w:t>
            </w:r>
          </w:p>
        </w:tc>
        <w:tc>
          <w:tcPr>
            <w:tcW w:w="1287"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en-US"/>
              </w:rPr>
              <w:t>93.42</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28.03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pPr>
              <w:widowControl w:val="0"/>
              <w:shd w:val="clear"/>
              <w:spacing w:line="360" w:lineRule="exact"/>
              <w:jc w:val="center"/>
              <w:rPr>
                <w:rFonts w:hint="eastAsia" w:eastAsia="宋体"/>
                <w:sz w:val="28"/>
                <w:szCs w:val="28"/>
                <w:vertAlign w:val="baseline"/>
                <w:lang w:val="zh-TW" w:eastAsia="zh-TW"/>
              </w:rPr>
            </w:pPr>
            <w:r>
              <w:rPr>
                <w:rFonts w:hint="eastAsia" w:eastAsia="宋体"/>
                <w:sz w:val="28"/>
                <w:szCs w:val="28"/>
                <w:vertAlign w:val="baseline"/>
                <w:lang w:val="en-US" w:eastAsia="zh-CN"/>
              </w:rPr>
              <w:t>5</w:t>
            </w:r>
          </w:p>
        </w:tc>
        <w:tc>
          <w:tcPr>
            <w:tcW w:w="1350"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zh-CN"/>
              </w:rPr>
              <w:t>5000</w:t>
            </w:r>
          </w:p>
        </w:tc>
        <w:tc>
          <w:tcPr>
            <w:tcW w:w="1287"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en-US"/>
              </w:rPr>
              <w:t>147.51</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44.25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pPr>
              <w:widowControl w:val="0"/>
              <w:shd w:val="clear"/>
              <w:spacing w:line="360" w:lineRule="exact"/>
              <w:jc w:val="center"/>
              <w:rPr>
                <w:rFonts w:hint="eastAsia" w:eastAsia="宋体"/>
                <w:sz w:val="28"/>
                <w:szCs w:val="28"/>
                <w:vertAlign w:val="baseline"/>
                <w:lang w:val="zh-TW" w:eastAsia="zh-TW"/>
              </w:rPr>
            </w:pPr>
            <w:r>
              <w:rPr>
                <w:rFonts w:hint="eastAsia" w:eastAsia="宋体"/>
                <w:sz w:val="28"/>
                <w:szCs w:val="28"/>
                <w:vertAlign w:val="baseline"/>
                <w:lang w:val="en-US" w:eastAsia="zh-CN"/>
              </w:rPr>
              <w:t>6</w:t>
            </w:r>
          </w:p>
        </w:tc>
        <w:tc>
          <w:tcPr>
            <w:tcW w:w="1350" w:type="dxa"/>
          </w:tcPr>
          <w:p>
            <w:pPr>
              <w:widowControl w:val="0"/>
              <w:shd w:val="clear"/>
              <w:spacing w:line="360" w:lineRule="exact"/>
              <w:jc w:val="left"/>
              <w:rPr>
                <w:rFonts w:hint="default" w:eastAsia="宋体"/>
                <w:sz w:val="28"/>
                <w:szCs w:val="28"/>
                <w:vertAlign w:val="baseline"/>
                <w:lang w:val="en-US" w:eastAsia="zh-CN"/>
              </w:rPr>
            </w:pPr>
            <w:r>
              <w:rPr>
                <w:rFonts w:hint="eastAsia" w:eastAsia="宋体"/>
                <w:sz w:val="28"/>
                <w:szCs w:val="28"/>
                <w:vertAlign w:val="baseline"/>
                <w:lang w:val="en-US" w:eastAsia="zh-CN"/>
              </w:rPr>
              <w:t>8000</w:t>
            </w:r>
          </w:p>
        </w:tc>
        <w:tc>
          <w:tcPr>
            <w:tcW w:w="1287" w:type="dxa"/>
          </w:tcPr>
          <w:p>
            <w:pPr>
              <w:widowControl w:val="0"/>
              <w:shd w:val="clear"/>
              <w:spacing w:line="360" w:lineRule="exact"/>
              <w:jc w:val="left"/>
              <w:rPr>
                <w:rFonts w:hint="default" w:eastAsia="宋体"/>
                <w:sz w:val="28"/>
                <w:szCs w:val="28"/>
                <w:vertAlign w:val="baseline"/>
                <w:lang w:val="en-US" w:eastAsia="zh-CN"/>
              </w:rPr>
            </w:pPr>
            <w:r>
              <w:rPr>
                <w:rFonts w:hint="eastAsia" w:eastAsia="宋体"/>
                <w:sz w:val="28"/>
                <w:szCs w:val="28"/>
                <w:vertAlign w:val="baseline"/>
                <w:lang w:val="en-US" w:eastAsia="zh-CN"/>
              </w:rPr>
              <w:t>224.64</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67.39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pPr>
              <w:widowControl w:val="0"/>
              <w:shd w:val="clear"/>
              <w:spacing w:line="360" w:lineRule="exact"/>
              <w:jc w:val="center"/>
              <w:rPr>
                <w:rFonts w:hint="eastAsia" w:eastAsia="宋体"/>
                <w:sz w:val="28"/>
                <w:szCs w:val="28"/>
                <w:vertAlign w:val="baseline"/>
                <w:lang w:val="zh-TW" w:eastAsia="zh-TW"/>
              </w:rPr>
            </w:pPr>
            <w:r>
              <w:rPr>
                <w:rFonts w:hint="eastAsia" w:eastAsia="宋体"/>
                <w:sz w:val="28"/>
                <w:szCs w:val="28"/>
                <w:vertAlign w:val="baseline"/>
                <w:lang w:val="en-US" w:eastAsia="zh-CN"/>
              </w:rPr>
              <w:t>7</w:t>
            </w:r>
          </w:p>
        </w:tc>
        <w:tc>
          <w:tcPr>
            <w:tcW w:w="1350"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zh-CN"/>
              </w:rPr>
              <w:t>10000</w:t>
            </w:r>
          </w:p>
        </w:tc>
        <w:tc>
          <w:tcPr>
            <w:tcW w:w="1287"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en-US"/>
              </w:rPr>
              <w:t>274.32</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82.30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pPr>
              <w:widowControl w:val="0"/>
              <w:shd w:val="clear"/>
              <w:spacing w:line="360" w:lineRule="exact"/>
              <w:jc w:val="center"/>
              <w:rPr>
                <w:rFonts w:hint="eastAsia" w:eastAsia="宋体"/>
                <w:sz w:val="28"/>
                <w:szCs w:val="28"/>
                <w:vertAlign w:val="baseline"/>
                <w:lang w:val="zh-TW" w:eastAsia="zh-TW"/>
              </w:rPr>
            </w:pPr>
            <w:r>
              <w:rPr>
                <w:rFonts w:hint="eastAsia" w:eastAsia="宋体"/>
                <w:sz w:val="28"/>
                <w:szCs w:val="28"/>
                <w:vertAlign w:val="baseline"/>
                <w:lang w:val="en-US" w:eastAsia="zh-CN"/>
              </w:rPr>
              <w:t>8</w:t>
            </w:r>
          </w:p>
        </w:tc>
        <w:tc>
          <w:tcPr>
            <w:tcW w:w="1350"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zh-CN"/>
              </w:rPr>
              <w:t>20000</w:t>
            </w:r>
          </w:p>
        </w:tc>
        <w:tc>
          <w:tcPr>
            <w:tcW w:w="1287" w:type="dxa"/>
            <w:vAlign w:val="center"/>
          </w:tcPr>
          <w:p>
            <w:pPr>
              <w:widowControl w:val="0"/>
              <w:shd w:val="clear"/>
              <w:spacing w:line="360" w:lineRule="exact"/>
              <w:jc w:val="left"/>
              <w:rPr>
                <w:rFonts w:hint="eastAsia" w:eastAsia="宋体"/>
                <w:sz w:val="28"/>
                <w:szCs w:val="28"/>
                <w:vertAlign w:val="baseline"/>
                <w:lang w:val="zh-TW" w:eastAsia="zh-TW"/>
              </w:rPr>
            </w:pPr>
            <w:r>
              <w:rPr>
                <w:rFonts w:hint="eastAsia" w:eastAsia="宋体"/>
                <w:sz w:val="28"/>
                <w:szCs w:val="28"/>
                <w:vertAlign w:val="baseline"/>
                <w:lang w:val="en-US" w:eastAsia="en-US"/>
              </w:rPr>
              <w:t>510.12</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153.04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widowControl w:val="0"/>
              <w:shd w:val="clear"/>
              <w:spacing w:line="360" w:lineRule="exact"/>
              <w:jc w:val="center"/>
              <w:rPr>
                <w:rFonts w:hint="eastAsia" w:eastAsia="宋体"/>
                <w:sz w:val="28"/>
                <w:szCs w:val="28"/>
                <w:vertAlign w:val="baseline"/>
                <w:lang w:val="en-US" w:eastAsia="zh-CN"/>
              </w:rPr>
            </w:pPr>
            <w:r>
              <w:rPr>
                <w:rFonts w:hint="eastAsia" w:eastAsia="宋体"/>
                <w:sz w:val="28"/>
                <w:szCs w:val="28"/>
                <w:vertAlign w:val="baseline"/>
                <w:lang w:val="en-US" w:eastAsia="zh-CN"/>
              </w:rPr>
              <w:t>9</w:t>
            </w:r>
          </w:p>
        </w:tc>
        <w:tc>
          <w:tcPr>
            <w:tcW w:w="1350" w:type="dxa"/>
          </w:tcPr>
          <w:p>
            <w:pPr>
              <w:widowControl w:val="0"/>
              <w:shd w:val="clear" w:color="auto" w:fill="auto"/>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40000</w:t>
            </w:r>
          </w:p>
        </w:tc>
        <w:tc>
          <w:tcPr>
            <w:tcW w:w="1287" w:type="dxa"/>
            <w:vAlign w:val="center"/>
          </w:tcPr>
          <w:p>
            <w:pPr>
              <w:widowControl w:val="0"/>
              <w:shd w:val="clear" w:color="auto" w:fill="auto"/>
              <w:spacing w:line="360" w:lineRule="exact"/>
              <w:rPr>
                <w:rFonts w:hint="eastAsia" w:eastAsia="宋体"/>
                <w:sz w:val="28"/>
                <w:szCs w:val="28"/>
                <w:vertAlign w:val="baseline"/>
                <w:lang w:val="zh-TW" w:eastAsia="zh-TW"/>
              </w:rPr>
            </w:pPr>
            <w:r>
              <w:rPr>
                <w:rFonts w:hint="eastAsia" w:eastAsia="宋体"/>
                <w:sz w:val="28"/>
                <w:szCs w:val="28"/>
                <w:vertAlign w:val="baseline"/>
                <w:lang w:val="en-US" w:eastAsia="en-US"/>
              </w:rPr>
              <w:t>948.60</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284.58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55" w:type="dxa"/>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10</w:t>
            </w:r>
          </w:p>
        </w:tc>
        <w:tc>
          <w:tcPr>
            <w:tcW w:w="1350" w:type="dxa"/>
            <w:vAlign w:val="center"/>
          </w:tcPr>
          <w:p>
            <w:pPr>
              <w:widowControl w:val="0"/>
              <w:shd w:val="clear" w:color="auto" w:fill="auto"/>
              <w:spacing w:line="360" w:lineRule="exact"/>
              <w:rPr>
                <w:rFonts w:hint="eastAsia" w:eastAsia="宋体"/>
                <w:sz w:val="28"/>
                <w:szCs w:val="28"/>
                <w:vertAlign w:val="baseline"/>
                <w:lang w:val="zh-TW" w:eastAsia="zh-TW"/>
              </w:rPr>
            </w:pPr>
            <w:r>
              <w:rPr>
                <w:rFonts w:hint="eastAsia" w:eastAsia="宋体"/>
                <w:sz w:val="28"/>
                <w:szCs w:val="28"/>
                <w:vertAlign w:val="baseline"/>
                <w:lang w:val="en-US" w:eastAsia="zh-CN"/>
              </w:rPr>
              <w:t>60000</w:t>
            </w:r>
          </w:p>
        </w:tc>
        <w:tc>
          <w:tcPr>
            <w:tcW w:w="1287" w:type="dxa"/>
            <w:vAlign w:val="center"/>
          </w:tcPr>
          <w:p>
            <w:pPr>
              <w:widowControl w:val="0"/>
              <w:shd w:val="clear" w:color="auto" w:fill="auto"/>
              <w:spacing w:line="360" w:lineRule="exact"/>
              <w:rPr>
                <w:rFonts w:hint="eastAsia" w:eastAsia="宋体"/>
                <w:sz w:val="28"/>
                <w:szCs w:val="28"/>
                <w:vertAlign w:val="baseline"/>
                <w:lang w:val="zh-TW" w:eastAsia="zh-TW"/>
              </w:rPr>
            </w:pPr>
            <w:r>
              <w:rPr>
                <w:rFonts w:hint="eastAsia" w:eastAsia="宋体"/>
                <w:sz w:val="28"/>
                <w:szCs w:val="28"/>
                <w:vertAlign w:val="baseline"/>
                <w:lang w:val="en-US" w:eastAsia="en-US"/>
              </w:rPr>
              <w:t>1363.68</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409.10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11</w:t>
            </w:r>
          </w:p>
        </w:tc>
        <w:tc>
          <w:tcPr>
            <w:tcW w:w="1350" w:type="dxa"/>
            <w:vAlign w:val="center"/>
          </w:tcPr>
          <w:p>
            <w:pPr>
              <w:widowControl w:val="0"/>
              <w:shd w:val="clear" w:color="auto" w:fill="auto"/>
              <w:spacing w:line="360" w:lineRule="exact"/>
              <w:rPr>
                <w:rFonts w:hint="eastAsia" w:eastAsia="宋体"/>
                <w:sz w:val="28"/>
                <w:szCs w:val="28"/>
                <w:vertAlign w:val="baseline"/>
                <w:lang w:val="zh-TW" w:eastAsia="zh-TW"/>
              </w:rPr>
            </w:pPr>
            <w:r>
              <w:rPr>
                <w:rFonts w:hint="eastAsia" w:eastAsia="宋体"/>
                <w:sz w:val="28"/>
                <w:szCs w:val="28"/>
                <w:vertAlign w:val="baseline"/>
                <w:lang w:val="en-US" w:eastAsia="zh-CN"/>
              </w:rPr>
              <w:t>80000</w:t>
            </w:r>
          </w:p>
        </w:tc>
        <w:tc>
          <w:tcPr>
            <w:tcW w:w="1287" w:type="dxa"/>
            <w:vAlign w:val="center"/>
          </w:tcPr>
          <w:p>
            <w:pPr>
              <w:widowControl w:val="0"/>
              <w:shd w:val="clear" w:color="auto" w:fill="auto"/>
              <w:spacing w:line="360" w:lineRule="exact"/>
              <w:rPr>
                <w:rFonts w:hint="eastAsia" w:eastAsia="宋体"/>
                <w:sz w:val="28"/>
                <w:szCs w:val="28"/>
                <w:vertAlign w:val="baseline"/>
                <w:lang w:val="zh-TW" w:eastAsia="zh-TW"/>
              </w:rPr>
            </w:pPr>
            <w:r>
              <w:rPr>
                <w:rFonts w:hint="eastAsia" w:eastAsia="宋体"/>
                <w:sz w:val="28"/>
                <w:szCs w:val="28"/>
                <w:vertAlign w:val="baseline"/>
                <w:lang w:val="en-US" w:eastAsia="en-US"/>
              </w:rPr>
              <w:t>1764.09</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529.23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12</w:t>
            </w:r>
          </w:p>
        </w:tc>
        <w:tc>
          <w:tcPr>
            <w:tcW w:w="1350" w:type="dxa"/>
            <w:vAlign w:val="center"/>
          </w:tcPr>
          <w:p>
            <w:pPr>
              <w:widowControl w:val="0"/>
              <w:shd w:val="clear" w:color="auto" w:fill="auto"/>
              <w:spacing w:line="360" w:lineRule="exact"/>
              <w:rPr>
                <w:rFonts w:hint="eastAsia" w:eastAsia="宋体"/>
                <w:sz w:val="28"/>
                <w:szCs w:val="28"/>
                <w:vertAlign w:val="baseline"/>
                <w:lang w:val="zh-TW" w:eastAsia="zh-TW"/>
              </w:rPr>
            </w:pPr>
            <w:r>
              <w:rPr>
                <w:rFonts w:hint="eastAsia" w:eastAsia="宋体"/>
                <w:sz w:val="28"/>
                <w:szCs w:val="28"/>
                <w:vertAlign w:val="baseline"/>
                <w:lang w:val="en-US" w:eastAsia="zh-CN"/>
              </w:rPr>
              <w:t>100000</w:t>
            </w:r>
          </w:p>
        </w:tc>
        <w:tc>
          <w:tcPr>
            <w:tcW w:w="1287" w:type="dxa"/>
            <w:vAlign w:val="center"/>
          </w:tcPr>
          <w:p>
            <w:pPr>
              <w:widowControl w:val="0"/>
              <w:shd w:val="clear" w:color="auto" w:fill="auto"/>
              <w:spacing w:line="360" w:lineRule="exact"/>
              <w:rPr>
                <w:rFonts w:hint="eastAsia" w:eastAsia="宋体"/>
                <w:sz w:val="28"/>
                <w:szCs w:val="28"/>
                <w:vertAlign w:val="baseline"/>
                <w:lang w:val="zh-TW" w:eastAsia="zh-TW"/>
              </w:rPr>
            </w:pPr>
            <w:r>
              <w:rPr>
                <w:rFonts w:hint="eastAsia" w:eastAsia="宋体"/>
                <w:sz w:val="28"/>
                <w:szCs w:val="28"/>
                <w:vertAlign w:val="baseline"/>
                <w:lang w:val="en-US" w:eastAsia="en-US"/>
              </w:rPr>
              <w:t>2154.06</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646.22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13</w:t>
            </w:r>
          </w:p>
        </w:tc>
        <w:tc>
          <w:tcPr>
            <w:tcW w:w="1350" w:type="dxa"/>
          </w:tcPr>
          <w:p>
            <w:pPr>
              <w:widowControl w:val="0"/>
              <w:shd w:val="clear"/>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200000</w:t>
            </w:r>
          </w:p>
        </w:tc>
        <w:tc>
          <w:tcPr>
            <w:tcW w:w="1287" w:type="dxa"/>
          </w:tcPr>
          <w:p>
            <w:pPr>
              <w:widowControl w:val="0"/>
              <w:shd w:val="clear" w:color="auto" w:fill="auto"/>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4005.72</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1201.72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14</w:t>
            </w:r>
          </w:p>
        </w:tc>
        <w:tc>
          <w:tcPr>
            <w:tcW w:w="1350" w:type="dxa"/>
          </w:tcPr>
          <w:p>
            <w:pPr>
              <w:widowControl w:val="0"/>
              <w:shd w:val="clear"/>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400000</w:t>
            </w:r>
          </w:p>
        </w:tc>
        <w:tc>
          <w:tcPr>
            <w:tcW w:w="1287" w:type="dxa"/>
          </w:tcPr>
          <w:p>
            <w:pPr>
              <w:widowControl w:val="0"/>
              <w:shd w:val="clear" w:color="auto" w:fill="auto"/>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7449.03</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2234.71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15</w:t>
            </w:r>
          </w:p>
        </w:tc>
        <w:tc>
          <w:tcPr>
            <w:tcW w:w="1350" w:type="dxa"/>
          </w:tcPr>
          <w:p>
            <w:pPr>
              <w:widowControl w:val="0"/>
              <w:shd w:val="clear"/>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600000</w:t>
            </w:r>
          </w:p>
        </w:tc>
        <w:tc>
          <w:tcPr>
            <w:tcW w:w="1287" w:type="dxa"/>
          </w:tcPr>
          <w:p>
            <w:pPr>
              <w:widowControl w:val="0"/>
              <w:shd w:val="clear" w:color="auto" w:fill="auto"/>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10707.75</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3212.33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16</w:t>
            </w:r>
          </w:p>
        </w:tc>
        <w:tc>
          <w:tcPr>
            <w:tcW w:w="1350" w:type="dxa"/>
          </w:tcPr>
          <w:p>
            <w:pPr>
              <w:widowControl w:val="0"/>
              <w:shd w:val="clear"/>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800000</w:t>
            </w:r>
          </w:p>
        </w:tc>
        <w:tc>
          <w:tcPr>
            <w:tcW w:w="1287" w:type="dxa"/>
          </w:tcPr>
          <w:p>
            <w:pPr>
              <w:widowControl w:val="0"/>
              <w:shd w:val="clear" w:color="auto" w:fill="auto"/>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13852.26</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4155.68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17</w:t>
            </w:r>
          </w:p>
        </w:tc>
        <w:tc>
          <w:tcPr>
            <w:tcW w:w="1350" w:type="dxa"/>
          </w:tcPr>
          <w:p>
            <w:pPr>
              <w:widowControl w:val="0"/>
              <w:shd w:val="clear"/>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1000000</w:t>
            </w:r>
          </w:p>
        </w:tc>
        <w:tc>
          <w:tcPr>
            <w:tcW w:w="1287" w:type="dxa"/>
          </w:tcPr>
          <w:p>
            <w:pPr>
              <w:widowControl w:val="0"/>
              <w:shd w:val="clear" w:color="auto" w:fill="auto"/>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16914.42</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5074.33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widowControl w:val="0"/>
              <w:shd w:val="clear"/>
              <w:spacing w:line="360" w:lineRule="exact"/>
              <w:jc w:val="center"/>
              <w:rPr>
                <w:rFonts w:hint="default" w:eastAsia="宋体"/>
                <w:sz w:val="28"/>
                <w:szCs w:val="28"/>
                <w:vertAlign w:val="baseline"/>
                <w:lang w:val="en-US" w:eastAsia="zh-CN"/>
              </w:rPr>
            </w:pPr>
            <w:r>
              <w:rPr>
                <w:rFonts w:hint="eastAsia" w:eastAsia="宋体"/>
                <w:sz w:val="28"/>
                <w:szCs w:val="28"/>
                <w:vertAlign w:val="baseline"/>
                <w:lang w:val="en-US" w:eastAsia="zh-CN"/>
              </w:rPr>
              <w:t>18</w:t>
            </w:r>
          </w:p>
        </w:tc>
        <w:tc>
          <w:tcPr>
            <w:tcW w:w="1350" w:type="dxa"/>
          </w:tcPr>
          <w:p>
            <w:pPr>
              <w:widowControl w:val="0"/>
              <w:shd w:val="clear"/>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2000000</w:t>
            </w:r>
          </w:p>
        </w:tc>
        <w:tc>
          <w:tcPr>
            <w:tcW w:w="1287" w:type="dxa"/>
          </w:tcPr>
          <w:p>
            <w:pPr>
              <w:widowControl w:val="0"/>
              <w:shd w:val="clear" w:color="auto" w:fill="auto"/>
              <w:spacing w:line="360" w:lineRule="exact"/>
              <w:rPr>
                <w:rFonts w:hint="default" w:eastAsia="宋体"/>
                <w:sz w:val="28"/>
                <w:szCs w:val="28"/>
                <w:vertAlign w:val="baseline"/>
                <w:lang w:val="en-US" w:eastAsia="zh-CN"/>
              </w:rPr>
            </w:pPr>
            <w:r>
              <w:rPr>
                <w:rFonts w:hint="eastAsia" w:eastAsia="宋体"/>
                <w:sz w:val="28"/>
                <w:szCs w:val="28"/>
                <w:vertAlign w:val="baseline"/>
                <w:lang w:val="en-US" w:eastAsia="zh-CN"/>
              </w:rPr>
              <w:t>31454.01</w:t>
            </w:r>
          </w:p>
        </w:tc>
        <w:tc>
          <w:tcPr>
            <w:tcW w:w="975" w:type="dxa"/>
            <w:vMerge w:val="continue"/>
          </w:tcPr>
          <w:p>
            <w:pPr>
              <w:widowControl w:val="0"/>
              <w:shd w:val="clear"/>
              <w:spacing w:line="360" w:lineRule="exact"/>
              <w:rPr>
                <w:sz w:val="28"/>
                <w:szCs w:val="28"/>
                <w:vertAlign w:val="baseline"/>
              </w:rPr>
            </w:pPr>
          </w:p>
        </w:tc>
        <w:tc>
          <w:tcPr>
            <w:tcW w:w="930" w:type="dxa"/>
            <w:vMerge w:val="continue"/>
          </w:tcPr>
          <w:p>
            <w:pPr>
              <w:widowControl w:val="0"/>
              <w:shd w:val="clear"/>
              <w:spacing w:line="360" w:lineRule="exact"/>
              <w:rPr>
                <w:sz w:val="28"/>
                <w:szCs w:val="28"/>
                <w:vertAlign w:val="baseline"/>
              </w:rPr>
            </w:pPr>
          </w:p>
        </w:tc>
        <w:tc>
          <w:tcPr>
            <w:tcW w:w="1005" w:type="dxa"/>
            <w:vMerge w:val="continue"/>
          </w:tcPr>
          <w:p>
            <w:pPr>
              <w:widowControl w:val="0"/>
              <w:shd w:val="clear"/>
              <w:spacing w:line="360" w:lineRule="exact"/>
              <w:rPr>
                <w:sz w:val="28"/>
                <w:szCs w:val="28"/>
                <w:vertAlign w:val="baseline"/>
              </w:rPr>
            </w:pPr>
          </w:p>
        </w:tc>
        <w:tc>
          <w:tcPr>
            <w:tcW w:w="1260" w:type="dxa"/>
            <w:vMerge w:val="continue"/>
          </w:tcPr>
          <w:p>
            <w:pPr>
              <w:widowControl w:val="0"/>
              <w:shd w:val="clear"/>
              <w:spacing w:line="360" w:lineRule="exact"/>
              <w:rPr>
                <w:sz w:val="28"/>
                <w:szCs w:val="28"/>
                <w:vertAlign w:val="baseline"/>
              </w:rPr>
            </w:pPr>
          </w:p>
        </w:tc>
        <w:tc>
          <w:tcPr>
            <w:tcW w:w="1758" w:type="dxa"/>
            <w:vAlign w:val="center"/>
          </w:tcPr>
          <w:p>
            <w:pPr>
              <w:widowControl w:val="0"/>
              <w:shd w:val="clear" w:color="auto" w:fill="auto"/>
              <w:spacing w:line="360" w:lineRule="exact"/>
              <w:rPr>
                <w:rFonts w:hint="eastAsia" w:eastAsia="宋体"/>
                <w:sz w:val="28"/>
                <w:szCs w:val="28"/>
                <w:vertAlign w:val="baseline"/>
                <w:lang w:val="en-US" w:eastAsia="en-US"/>
              </w:rPr>
            </w:pPr>
            <w:r>
              <w:rPr>
                <w:rFonts w:hint="eastAsia" w:eastAsia="宋体"/>
                <w:sz w:val="28"/>
                <w:szCs w:val="28"/>
                <w:vertAlign w:val="baseline"/>
                <w:lang w:val="en-US" w:eastAsia="zh-CN"/>
              </w:rPr>
              <w:t xml:space="preserve">9436.20 </w:t>
            </w:r>
          </w:p>
        </w:tc>
      </w:tr>
    </w:tbl>
    <w:p>
      <w:pPr>
        <w:pStyle w:val="4"/>
        <w:keepNext w:val="0"/>
        <w:keepLines w:val="0"/>
        <w:widowControl/>
        <w:suppressLineNumbers w:val="0"/>
        <w:spacing w:before="0" w:beforeAutospacing="0" w:after="0" w:afterAutospacing="0"/>
        <w:ind w:right="0"/>
        <w:rPr>
          <w:sz w:val="28"/>
          <w:szCs w:val="28"/>
        </w:rPr>
      </w:pPr>
      <w:r>
        <w:rPr>
          <w:rFonts w:hint="eastAsia"/>
          <w:sz w:val="28"/>
          <w:szCs w:val="28"/>
          <w:lang w:eastAsia="zh-CN"/>
        </w:rPr>
        <w:t>注：</w:t>
      </w:r>
      <w:r>
        <w:rPr>
          <w:rFonts w:hint="eastAsia"/>
          <w:sz w:val="28"/>
          <w:szCs w:val="28"/>
          <w:lang w:val="en-US" w:eastAsia="zh-CN"/>
        </w:rPr>
        <w:t>计费额＞2000000万元的，以计费额乘以1.45%的收费率计算</w:t>
      </w:r>
      <w:r>
        <w:rPr>
          <w:sz w:val="28"/>
          <w:szCs w:val="28"/>
        </w:rPr>
        <w:t>收费基价。</w:t>
      </w:r>
    </w:p>
    <w:p>
      <w:pPr>
        <w:pStyle w:val="4"/>
        <w:keepNext w:val="0"/>
        <w:keepLines w:val="0"/>
        <w:widowControl/>
        <w:suppressLineNumbers w:val="0"/>
        <w:spacing w:before="0" w:beforeAutospacing="0" w:after="0" w:afterAutospacing="0"/>
        <w:ind w:right="0" w:firstLine="560" w:firstLineChars="200"/>
        <w:rPr>
          <w:sz w:val="28"/>
          <w:szCs w:val="28"/>
        </w:rPr>
      </w:pPr>
      <w:r>
        <w:rPr>
          <w:sz w:val="28"/>
          <w:szCs w:val="28"/>
        </w:rPr>
        <w:t>工程设计费按照工程费用分档计算，工程费用处于两个数值区间的，采用直线内插法计算。计算公式如下</w:t>
      </w:r>
      <w:r>
        <w:rPr>
          <w:rFonts w:hint="eastAsia"/>
          <w:sz w:val="28"/>
          <w:szCs w:val="28"/>
          <w:lang w:eastAsia="zh-CN"/>
        </w:rPr>
        <w:t>：</w:t>
      </w:r>
      <w:r>
        <w:rPr>
          <w:sz w:val="28"/>
          <w:szCs w:val="28"/>
        </w:rPr>
        <w:t>基本设计费=工程设计计费基价</w:t>
      </w:r>
      <w:r>
        <w:rPr>
          <w:rFonts w:hint="eastAsia"/>
          <w:sz w:val="28"/>
          <w:szCs w:val="28"/>
          <w:lang w:val="en-US" w:eastAsia="zh-CN"/>
        </w:rPr>
        <w:t>×</w:t>
      </w:r>
      <w:r>
        <w:rPr>
          <w:sz w:val="28"/>
          <w:szCs w:val="28"/>
        </w:rPr>
        <w:t>专业调整系数</w:t>
      </w:r>
      <w:r>
        <w:rPr>
          <w:rFonts w:hint="eastAsia"/>
          <w:sz w:val="28"/>
          <w:szCs w:val="28"/>
          <w:lang w:val="en-US" w:eastAsia="zh-CN"/>
        </w:rPr>
        <w:t>×</w:t>
      </w:r>
      <w:r>
        <w:rPr>
          <w:sz w:val="28"/>
          <w:szCs w:val="28"/>
        </w:rPr>
        <w:t>工程复杂程度调整系数</w:t>
      </w:r>
      <w:r>
        <w:rPr>
          <w:rFonts w:hint="eastAsia"/>
          <w:sz w:val="28"/>
          <w:szCs w:val="28"/>
          <w:lang w:val="en-US" w:eastAsia="zh-CN"/>
        </w:rPr>
        <w:t>×</w:t>
      </w:r>
      <w:r>
        <w:rPr>
          <w:sz w:val="28"/>
          <w:szCs w:val="28"/>
        </w:rPr>
        <w:t>（</w:t>
      </w:r>
      <w:r>
        <w:rPr>
          <w:rFonts w:hint="eastAsia"/>
          <w:sz w:val="28"/>
          <w:szCs w:val="28"/>
          <w:lang w:val="en-US" w:eastAsia="zh-CN"/>
        </w:rPr>
        <w:t>1</w:t>
      </w:r>
      <w:r>
        <w:rPr>
          <w:sz w:val="28"/>
          <w:szCs w:val="28"/>
        </w:rPr>
        <w:t>+附加调整系数）</w:t>
      </w:r>
    </w:p>
    <w:p>
      <w:pPr>
        <w:pStyle w:val="4"/>
        <w:keepNext w:val="0"/>
        <w:keepLines w:val="0"/>
        <w:widowControl/>
        <w:suppressLineNumbers w:val="0"/>
        <w:spacing w:before="0" w:beforeAutospacing="0" w:after="0" w:afterAutospacing="0"/>
        <w:ind w:left="0" w:right="0" w:firstLine="560" w:firstLineChars="200"/>
        <w:rPr>
          <w:sz w:val="28"/>
          <w:szCs w:val="28"/>
        </w:rPr>
      </w:pPr>
      <w:r>
        <w:rPr>
          <w:sz w:val="28"/>
          <w:szCs w:val="28"/>
        </w:rPr>
        <w:t>专业调整系数</w:t>
      </w:r>
      <w:r>
        <w:rPr>
          <w:rFonts w:hint="eastAsia"/>
          <w:sz w:val="28"/>
          <w:szCs w:val="28"/>
          <w:lang w:eastAsia="zh-CN"/>
        </w:rPr>
        <w:t>：</w:t>
      </w:r>
      <w:r>
        <w:rPr>
          <w:sz w:val="28"/>
          <w:szCs w:val="28"/>
        </w:rPr>
        <w:t>邮政工艺工程按0.8，建筑、市政、电信工程按1.0</w:t>
      </w:r>
      <w:r>
        <w:rPr>
          <w:rFonts w:hint="eastAsia"/>
          <w:sz w:val="28"/>
          <w:szCs w:val="28"/>
          <w:lang w:eastAsia="zh-CN"/>
        </w:rPr>
        <w:t>，</w:t>
      </w:r>
      <w:r>
        <w:rPr>
          <w:sz w:val="28"/>
          <w:szCs w:val="28"/>
        </w:rPr>
        <w:t>人防、园林绿化、广电工艺工程按</w:t>
      </w:r>
      <w:r>
        <w:rPr>
          <w:rFonts w:hint="eastAsia"/>
          <w:sz w:val="28"/>
          <w:szCs w:val="28"/>
          <w:lang w:val="en-US" w:eastAsia="zh-CN"/>
        </w:rPr>
        <w:t>1.1</w:t>
      </w:r>
      <w:r>
        <w:rPr>
          <w:sz w:val="28"/>
          <w:szCs w:val="28"/>
        </w:rPr>
        <w:t>计算。</w:t>
      </w:r>
    </w:p>
    <w:p>
      <w:pPr>
        <w:pStyle w:val="4"/>
        <w:keepNext w:val="0"/>
        <w:keepLines w:val="0"/>
        <w:widowControl/>
        <w:suppressLineNumbers w:val="0"/>
        <w:spacing w:before="0" w:beforeAutospacing="0" w:after="0" w:afterAutospacing="0"/>
        <w:ind w:left="0" w:right="0" w:firstLine="560" w:firstLineChars="200"/>
        <w:rPr>
          <w:rFonts w:hint="eastAsia" w:eastAsia="宋体"/>
          <w:sz w:val="28"/>
          <w:szCs w:val="28"/>
          <w:lang w:eastAsia="zh-CN"/>
        </w:rPr>
      </w:pPr>
      <w:r>
        <w:rPr>
          <w:sz w:val="28"/>
          <w:szCs w:val="28"/>
        </w:rPr>
        <w:t>工程复杂程度调整系数是不同工程复杂程度对设计单位基本服务成本基数影响程度的调整系数的分析数据工程复杂程度调整系数取定</w:t>
      </w:r>
      <w:r>
        <w:rPr>
          <w:rFonts w:hint="eastAsia"/>
          <w:sz w:val="28"/>
          <w:szCs w:val="28"/>
          <w:lang w:eastAsia="zh-CN"/>
        </w:rPr>
        <w:t>。</w:t>
      </w:r>
    </w:p>
    <w:p>
      <w:pPr>
        <w:pStyle w:val="4"/>
        <w:keepNext w:val="0"/>
        <w:keepLines w:val="0"/>
        <w:widowControl/>
        <w:suppressLineNumbers w:val="0"/>
        <w:spacing w:before="0" w:beforeAutospacing="0" w:after="0" w:afterAutospacing="0"/>
        <w:ind w:left="0" w:right="0" w:firstLine="560" w:firstLineChars="200"/>
        <w:rPr>
          <w:sz w:val="28"/>
          <w:szCs w:val="28"/>
        </w:rPr>
      </w:pPr>
      <w:r>
        <w:rPr>
          <w:sz w:val="28"/>
          <w:szCs w:val="28"/>
        </w:rPr>
        <w:t>附加调整系数</w:t>
      </w:r>
      <w:r>
        <w:rPr>
          <w:rFonts w:hint="eastAsia"/>
          <w:sz w:val="28"/>
          <w:szCs w:val="28"/>
          <w:lang w:eastAsia="zh-CN"/>
        </w:rPr>
        <w:t>：</w:t>
      </w:r>
      <w:r>
        <w:rPr>
          <w:sz w:val="28"/>
          <w:szCs w:val="28"/>
        </w:rPr>
        <w:t>改扩建和技术改造建设项目按0</w:t>
      </w:r>
      <w:r>
        <w:rPr>
          <w:rFonts w:hint="eastAsia"/>
          <w:sz w:val="28"/>
          <w:szCs w:val="28"/>
          <w:lang w:val="en-US" w:eastAsia="zh-CN"/>
        </w:rPr>
        <w:t>.</w:t>
      </w:r>
      <w:r>
        <w:rPr>
          <w:sz w:val="28"/>
          <w:szCs w:val="28"/>
        </w:rPr>
        <w:t>1～0.4计算;古建筑、仿古建筑、保护性建筑等，根据实际情况按0.3～0.6 计算;智能建筑弱电系统设计，以弱电系统的设计概算为计费额按0.3 计算;室内装修设计</w:t>
      </w:r>
      <w:r>
        <w:rPr>
          <w:rFonts w:hint="eastAsia"/>
          <w:sz w:val="28"/>
          <w:szCs w:val="28"/>
          <w:lang w:eastAsia="zh-CN"/>
        </w:rPr>
        <w:t>，</w:t>
      </w:r>
      <w:r>
        <w:rPr>
          <w:sz w:val="28"/>
          <w:szCs w:val="28"/>
        </w:rPr>
        <w:t>以室内装修的设计概</w:t>
      </w:r>
      <w:r>
        <w:rPr>
          <w:rFonts w:hint="eastAsia"/>
          <w:sz w:val="28"/>
          <w:szCs w:val="28"/>
          <w:lang w:eastAsia="zh-CN"/>
        </w:rPr>
        <w:t>算</w:t>
      </w:r>
      <w:r>
        <w:rPr>
          <w:sz w:val="28"/>
          <w:szCs w:val="28"/>
        </w:rPr>
        <w:t>为计费额按0.5计</w:t>
      </w:r>
      <w:r>
        <w:rPr>
          <w:rFonts w:hint="eastAsia"/>
          <w:sz w:val="28"/>
          <w:szCs w:val="28"/>
          <w:lang w:eastAsia="zh-CN"/>
        </w:rPr>
        <w:t>算</w:t>
      </w:r>
      <w:r>
        <w:rPr>
          <w:sz w:val="28"/>
          <w:szCs w:val="28"/>
        </w:rPr>
        <w:t>;特殊声学装修设计，以声学装修的设计概算为计费额按1.0 计算</w:t>
      </w:r>
      <w:r>
        <w:rPr>
          <w:rFonts w:hint="eastAsia"/>
          <w:sz w:val="28"/>
          <w:szCs w:val="28"/>
          <w:lang w:eastAsia="zh-CN"/>
        </w:rPr>
        <w:t>；</w:t>
      </w:r>
      <w:r>
        <w:rPr>
          <w:sz w:val="28"/>
          <w:szCs w:val="28"/>
        </w:rPr>
        <w:t>附加调整系数为两个或两个以上的，附加调整系数相加。</w:t>
      </w:r>
    </w:p>
    <w:p>
      <w:pPr>
        <w:numPr>
          <w:ilvl w:val="0"/>
          <w:numId w:val="0"/>
        </w:numPr>
        <w:spacing w:line="360" w:lineRule="auto"/>
        <w:ind w:firstLine="602" w:firstLineChars="200"/>
        <w:rPr>
          <w:rFonts w:hint="eastAsia" w:ascii="Times New Roman"/>
          <w:b/>
          <w:bCs/>
          <w:color w:val="000000"/>
          <w:sz w:val="30"/>
          <w:szCs w:val="30"/>
          <w:lang w:eastAsia="zh-CN"/>
        </w:rPr>
      </w:pPr>
      <w:r>
        <w:rPr>
          <w:rFonts w:hint="eastAsia" w:ascii="Times New Roman"/>
          <w:b/>
          <w:bCs/>
          <w:color w:val="000000"/>
          <w:sz w:val="30"/>
          <w:szCs w:val="30"/>
          <w:lang w:eastAsia="zh-CN"/>
        </w:rPr>
        <w:t>五、工程招标采购咨询（含管理）</w:t>
      </w:r>
    </w:p>
    <w:p>
      <w:pPr>
        <w:numPr>
          <w:ilvl w:val="0"/>
          <w:numId w:val="0"/>
        </w:numPr>
        <w:spacing w:line="360" w:lineRule="auto"/>
        <w:ind w:firstLine="562" w:firstLineChars="200"/>
        <w:rPr>
          <w:rFonts w:hint="eastAsia" w:ascii="Times New Roman"/>
          <w:b/>
          <w:bCs/>
          <w:color w:val="000000"/>
          <w:sz w:val="28"/>
          <w:szCs w:val="28"/>
          <w:lang w:eastAsia="zh-CN"/>
        </w:rPr>
      </w:pPr>
      <w:r>
        <w:rPr>
          <w:rFonts w:hint="eastAsia" w:ascii="Times New Roman"/>
          <w:b/>
          <w:bCs/>
          <w:color w:val="000000"/>
          <w:sz w:val="28"/>
          <w:szCs w:val="28"/>
          <w:lang w:val="en-US" w:eastAsia="zh-CN"/>
        </w:rPr>
        <w:t>（一）</w:t>
      </w:r>
      <w:r>
        <w:rPr>
          <w:rFonts w:hint="eastAsia" w:ascii="Times New Roman"/>
          <w:b/>
          <w:bCs/>
          <w:color w:val="000000"/>
          <w:sz w:val="28"/>
          <w:szCs w:val="28"/>
          <w:lang w:eastAsia="zh-CN"/>
        </w:rPr>
        <w:t>勘察、设计、施工、监理、检测、造价咨询等招标代理</w:t>
      </w:r>
    </w:p>
    <w:p>
      <w:pPr>
        <w:numPr>
          <w:ilvl w:val="0"/>
          <w:numId w:val="0"/>
        </w:numPr>
        <w:spacing w:line="360" w:lineRule="auto"/>
        <w:ind w:firstLine="562" w:firstLineChars="200"/>
        <w:rPr>
          <w:rFonts w:hint="eastAsia" w:ascii="Times New Roman"/>
          <w:b/>
          <w:bCs/>
          <w:color w:val="000000"/>
          <w:sz w:val="28"/>
          <w:szCs w:val="28"/>
          <w:lang w:eastAsia="zh-CN"/>
        </w:rPr>
      </w:pPr>
      <w:r>
        <w:rPr>
          <w:rFonts w:hint="eastAsia" w:ascii="Times New Roman"/>
          <w:b/>
          <w:bCs/>
          <w:color w:val="000000"/>
          <w:sz w:val="28"/>
          <w:szCs w:val="28"/>
          <w:lang w:val="en-US" w:eastAsia="zh-CN"/>
        </w:rPr>
        <w:t>1、</w:t>
      </w:r>
      <w:r>
        <w:rPr>
          <w:rFonts w:hint="eastAsia" w:ascii="Times New Roman"/>
          <w:b/>
          <w:bCs/>
          <w:color w:val="000000"/>
          <w:sz w:val="28"/>
          <w:szCs w:val="28"/>
          <w:lang w:eastAsia="zh-CN"/>
        </w:rPr>
        <w:t>主要工作内容：</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①工程咨询方应根据全过程工程咨询合同，开展勘察、设计、施工、监理、检测、造价咨询等招标代理工作。</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②工程咨询方应进行工程监理招标策划，并应协助委托方划分工程监理标段和选择工程监理招标方式。</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③工程咨询方应协助委托方合理设定工程监理投标条件，并应编制和发布招标公告或发出投标邀请书。</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④工程监理招标设有资格预审环节的，工程咨询方应组织工程监理投标资格预审。</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hAnsi="Calibri" w:eastAsia="宋体" w:cs="Times New Roman"/>
          <w:color w:val="000000"/>
          <w:kern w:val="2"/>
          <w:sz w:val="28"/>
          <w:szCs w:val="28"/>
          <w:lang w:val="en-US" w:eastAsia="zh-CN"/>
        </w:rPr>
        <w:t>⑤</w:t>
      </w:r>
      <w:r>
        <w:rPr>
          <w:rFonts w:hint="eastAsia" w:ascii="Times New Roman"/>
          <w:color w:val="000000"/>
          <w:sz w:val="28"/>
          <w:szCs w:val="28"/>
          <w:lang w:eastAsia="zh-CN"/>
        </w:rPr>
        <w:t>工程咨询方应协助委托方选定工程监理合同示范文本和制定合同主要条款，并应编制和发出工程监理招标文件。</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hAnsi="Calibri" w:eastAsia="宋体" w:cs="Times New Roman"/>
          <w:color w:val="000000"/>
          <w:kern w:val="2"/>
          <w:sz w:val="28"/>
          <w:szCs w:val="28"/>
          <w:lang w:val="en-US" w:eastAsia="zh-CN"/>
        </w:rPr>
        <w:t>⑥</w:t>
      </w:r>
      <w:r>
        <w:rPr>
          <w:rFonts w:hint="eastAsia" w:ascii="Times New Roman"/>
          <w:color w:val="000000"/>
          <w:sz w:val="28"/>
          <w:szCs w:val="28"/>
          <w:lang w:eastAsia="zh-CN"/>
        </w:rPr>
        <w:t>工程咨询方应遵循“基于能力的选择”原则，组织评标委员会按照招标文件中确定的评标方法进行工程监理评标，不得选取低于成本价的投标者中标。</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hAnsi="Calibri" w:eastAsia="宋体" w:cs="Times New Roman"/>
          <w:color w:val="000000"/>
          <w:kern w:val="2"/>
          <w:sz w:val="28"/>
          <w:szCs w:val="28"/>
          <w:lang w:val="en-US" w:eastAsia="zh-CN"/>
        </w:rPr>
        <w:t>⑦</w:t>
      </w:r>
      <w:r>
        <w:rPr>
          <w:rFonts w:hint="eastAsia" w:ascii="Times New Roman"/>
          <w:color w:val="000000"/>
          <w:sz w:val="28"/>
          <w:szCs w:val="28"/>
          <w:lang w:eastAsia="zh-CN"/>
        </w:rPr>
        <w:t>工程咨询方应协助委托方与拟中标监理单位进行合同谈判，并应协助委托方签订工程监理合同。</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hAnsi="Calibri" w:eastAsia="宋体" w:cs="Times New Roman"/>
          <w:color w:val="000000"/>
          <w:kern w:val="2"/>
          <w:sz w:val="28"/>
          <w:szCs w:val="28"/>
          <w:lang w:val="en-US" w:eastAsia="zh-CN"/>
        </w:rPr>
        <w:t>⑧</w:t>
      </w:r>
      <w:r>
        <w:rPr>
          <w:rFonts w:hint="eastAsia" w:ascii="Times New Roman"/>
          <w:color w:val="000000"/>
          <w:sz w:val="28"/>
          <w:szCs w:val="28"/>
          <w:lang w:eastAsia="zh-CN"/>
        </w:rPr>
        <w:t>工程咨询方应进行工程施工招标策划，并应协助委托方合理设定施工合同边界和划分工程施工标段，选择工程施工招标方式。</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⑨工程咨询方应协助委托方合理设定工程施工投标条件，并应编制和发布招标公告或发出投标邀请书。</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eastAsia="zh-CN"/>
        </w:rPr>
        <w:t>⑩工程施工招标设有资格预审环节的，工程咨询方应组织工程施工投标资格预审。</w:t>
      </w:r>
    </w:p>
    <w:p>
      <w:pPr>
        <w:numPr>
          <w:ilvl w:val="0"/>
          <w:numId w:val="0"/>
        </w:numPr>
        <w:spacing w:line="360" w:lineRule="auto"/>
        <w:ind w:firstLine="420" w:firstLineChars="200"/>
        <w:rPr>
          <w:rFonts w:hint="eastAsia" w:ascii="Times New Roman"/>
          <w:color w:val="000000"/>
          <w:sz w:val="28"/>
          <w:szCs w:val="28"/>
          <w:lang w:eastAsia="zh-CN"/>
        </w:rPr>
      </w:pPr>
      <w:r>
        <w:rPr>
          <w:rFonts w:hint="eastAsia" w:ascii="Times New Roman" w:hAnsi="Calibri" w:eastAsia="宋体" w:cs="Times New Roman"/>
          <w:color w:val="000000"/>
          <w:kern w:val="2"/>
          <w:sz w:val="21"/>
          <w:szCs w:val="21"/>
          <w:lang w:val="en-US" w:eastAsia="zh-CN"/>
        </w:rPr>
        <w:fldChar w:fldCharType="begin"/>
      </w:r>
      <w:r>
        <w:rPr>
          <w:rFonts w:hint="eastAsia" w:ascii="Times New Roman" w:hAnsi="Calibri" w:eastAsia="宋体" w:cs="Times New Roman"/>
          <w:color w:val="000000"/>
          <w:kern w:val="2"/>
          <w:sz w:val="21"/>
          <w:szCs w:val="21"/>
          <w:lang w:val="en-US" w:eastAsia="zh-CN"/>
        </w:rPr>
        <w:instrText xml:space="preserve"> EQ \o\ac(</w:instrText>
      </w:r>
      <w:r>
        <w:rPr>
          <w:rFonts w:hint="eastAsia" w:ascii="Times New Roman" w:hAnsi="Calibri" w:eastAsia="宋体" w:cs="Times New Roman"/>
          <w:color w:val="000000"/>
          <w:kern w:val="2"/>
          <w:position w:val="-4"/>
          <w:sz w:val="31"/>
          <w:szCs w:val="21"/>
          <w:lang w:val="en-US" w:eastAsia="zh-CN"/>
        </w:rPr>
        <w:instrText xml:space="preserve">○</w:instrText>
      </w:r>
      <w:r>
        <w:rPr>
          <w:rFonts w:hint="eastAsia" w:ascii="Times New Roman" w:hAnsi="Calibri" w:eastAsia="宋体" w:cs="Times New Roman"/>
          <w:color w:val="000000"/>
          <w:kern w:val="2"/>
          <w:position w:val="0"/>
          <w:sz w:val="21"/>
          <w:szCs w:val="21"/>
          <w:lang w:val="en-US" w:eastAsia="zh-CN"/>
        </w:rPr>
        <w:instrText xml:space="preserve">,11)</w:instrText>
      </w:r>
      <w:r>
        <w:rPr>
          <w:rFonts w:hint="eastAsia" w:ascii="Times New Roman" w:hAnsi="Calibri" w:eastAsia="宋体" w:cs="Times New Roman"/>
          <w:color w:val="000000"/>
          <w:kern w:val="2"/>
          <w:sz w:val="21"/>
          <w:szCs w:val="21"/>
          <w:lang w:val="en-US" w:eastAsia="zh-CN"/>
        </w:rPr>
        <w:fldChar w:fldCharType="end"/>
      </w:r>
      <w:r>
        <w:rPr>
          <w:rFonts w:hint="eastAsia" w:ascii="Times New Roman"/>
          <w:color w:val="000000"/>
          <w:sz w:val="28"/>
          <w:szCs w:val="28"/>
          <w:lang w:eastAsia="zh-CN"/>
        </w:rPr>
        <w:t>工程咨询方应按照工程量清单计价标准要求编制工程量清单，并应合理设定暂估价项目，避免产生不平衡报价和重大偏差项目。</w:t>
      </w:r>
    </w:p>
    <w:p>
      <w:pPr>
        <w:numPr>
          <w:ilvl w:val="0"/>
          <w:numId w:val="0"/>
        </w:numPr>
        <w:spacing w:line="360" w:lineRule="auto"/>
        <w:ind w:firstLine="480" w:firstLineChars="200"/>
        <w:rPr>
          <w:rFonts w:hint="eastAsia" w:ascii="Times New Roman"/>
          <w:color w:val="000000"/>
          <w:sz w:val="28"/>
          <w:szCs w:val="28"/>
          <w:lang w:eastAsia="zh-CN"/>
        </w:rPr>
      </w:pPr>
      <w:r>
        <w:rPr>
          <w:rFonts w:hint="eastAsia" w:ascii="Times New Roman" w:hAnsi="Calibri" w:eastAsia="宋体" w:cs="Times New Roman"/>
          <w:color w:val="000000"/>
          <w:kern w:val="2"/>
          <w:sz w:val="24"/>
          <w:szCs w:val="24"/>
          <w:lang w:val="en-US" w:eastAsia="zh-CN"/>
        </w:rPr>
        <w:fldChar w:fldCharType="begin"/>
      </w:r>
      <w:r>
        <w:rPr>
          <w:rFonts w:hint="eastAsia" w:ascii="Times New Roman" w:hAnsi="Calibri" w:eastAsia="宋体" w:cs="Times New Roman"/>
          <w:color w:val="000000"/>
          <w:kern w:val="2"/>
          <w:sz w:val="24"/>
          <w:szCs w:val="24"/>
          <w:lang w:val="en-US" w:eastAsia="zh-CN"/>
        </w:rPr>
        <w:instrText xml:space="preserve"> EQ \o\ac(</w:instrText>
      </w:r>
      <w:r>
        <w:rPr>
          <w:rFonts w:hint="eastAsia" w:ascii="Times New Roman" w:hAnsi="Calibri" w:eastAsia="宋体" w:cs="Times New Roman"/>
          <w:color w:val="000000"/>
          <w:kern w:val="2"/>
          <w:position w:val="-4"/>
          <w:sz w:val="36"/>
          <w:szCs w:val="24"/>
          <w:lang w:val="en-US" w:eastAsia="zh-CN"/>
        </w:rPr>
        <w:instrText xml:space="preserve">○</w:instrText>
      </w:r>
      <w:r>
        <w:rPr>
          <w:rFonts w:hint="eastAsia" w:ascii="Times New Roman" w:hAnsi="Calibri" w:eastAsia="宋体" w:cs="Times New Roman"/>
          <w:color w:val="000000"/>
          <w:kern w:val="2"/>
          <w:position w:val="0"/>
          <w:sz w:val="24"/>
          <w:szCs w:val="24"/>
          <w:lang w:val="en-US" w:eastAsia="zh-CN"/>
        </w:rPr>
        <w:instrText xml:space="preserve">,12)</w:instrText>
      </w:r>
      <w:r>
        <w:rPr>
          <w:rFonts w:hint="eastAsia" w:ascii="Times New Roman" w:hAnsi="Calibri" w:eastAsia="宋体" w:cs="Times New Roman"/>
          <w:color w:val="000000"/>
          <w:kern w:val="2"/>
          <w:sz w:val="24"/>
          <w:szCs w:val="24"/>
          <w:lang w:val="en-US" w:eastAsia="zh-CN"/>
        </w:rPr>
        <w:fldChar w:fldCharType="end"/>
      </w:r>
      <w:r>
        <w:rPr>
          <w:rFonts w:hint="eastAsia" w:ascii="Times New Roman"/>
          <w:color w:val="000000"/>
          <w:sz w:val="28"/>
          <w:szCs w:val="28"/>
          <w:lang w:eastAsia="zh-CN"/>
        </w:rPr>
        <w:t>工程咨询方应协助委托方选定工程施工合同示范文本和制定合同主要条款，并应编制和发出工程施工招标文件。</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val="en-US" w:eastAsia="zh-CN"/>
        </w:rPr>
        <w:fldChar w:fldCharType="begin"/>
      </w:r>
      <w:r>
        <w:rPr>
          <w:rFonts w:hint="eastAsia" w:ascii="Times New Roman"/>
          <w:color w:val="000000"/>
          <w:sz w:val="28"/>
          <w:szCs w:val="28"/>
          <w:lang w:val="en-US" w:eastAsia="zh-CN"/>
        </w:rPr>
        <w:instrText xml:space="preserve"> EQ \o\ac(</w:instrText>
      </w:r>
      <w:r>
        <w:rPr>
          <w:rFonts w:hint="eastAsia" w:ascii="Times New Roman" w:hAnsi="Calibri" w:eastAsia="宋体" w:cs="Times New Roman"/>
          <w:color w:val="000000"/>
          <w:kern w:val="2"/>
          <w:sz w:val="28"/>
          <w:szCs w:val="28"/>
          <w:lang w:val="en-US" w:eastAsia="zh-CN"/>
        </w:rPr>
        <w:instrText xml:space="preserve">○</w:instrText>
      </w:r>
      <w:r>
        <w:rPr>
          <w:rFonts w:hint="eastAsia" w:ascii="Times New Roman"/>
          <w:color w:val="000000"/>
          <w:sz w:val="28"/>
          <w:szCs w:val="28"/>
          <w:lang w:val="en-US" w:eastAsia="zh-CN"/>
        </w:rPr>
        <w:instrText xml:space="preserve">,</w:instrText>
      </w:r>
      <w:r>
        <w:rPr>
          <w:rFonts w:hint="eastAsia" w:ascii="Times New Roman" w:hAnsi="Calibri" w:eastAsia="宋体" w:cs="Times New Roman"/>
          <w:color w:val="000000"/>
          <w:kern w:val="2"/>
          <w:position w:val="3"/>
          <w:sz w:val="19"/>
          <w:szCs w:val="28"/>
          <w:lang w:val="en-US" w:eastAsia="zh-CN"/>
        </w:rPr>
        <w:instrText xml:space="preserve">13</w:instrText>
      </w:r>
      <w:r>
        <w:rPr>
          <w:rFonts w:hint="eastAsia" w:ascii="Times New Roman"/>
          <w:color w:val="000000"/>
          <w:sz w:val="28"/>
          <w:szCs w:val="28"/>
          <w:lang w:val="en-US" w:eastAsia="zh-CN"/>
        </w:rPr>
        <w:instrText xml:space="preserve">)</w:instrText>
      </w:r>
      <w:r>
        <w:rPr>
          <w:rFonts w:hint="eastAsia" w:ascii="Times New Roman"/>
          <w:color w:val="000000"/>
          <w:sz w:val="28"/>
          <w:szCs w:val="28"/>
          <w:lang w:val="en-US" w:eastAsia="zh-CN"/>
        </w:rPr>
        <w:fldChar w:fldCharType="end"/>
      </w:r>
      <w:r>
        <w:rPr>
          <w:rFonts w:hint="eastAsia" w:ascii="Times New Roman"/>
          <w:color w:val="000000"/>
          <w:sz w:val="28"/>
          <w:szCs w:val="28"/>
          <w:lang w:eastAsia="zh-CN"/>
        </w:rPr>
        <w:t>工程咨询方应合理设定工程款支付条件，重点关注安全文明施工费使用支付条款、奖罚条款、工程质量保证条款等。</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val="en-US" w:eastAsia="zh-CN"/>
        </w:rPr>
        <w:fldChar w:fldCharType="begin"/>
      </w:r>
      <w:r>
        <w:rPr>
          <w:rFonts w:hint="eastAsia" w:ascii="Times New Roman"/>
          <w:color w:val="000000"/>
          <w:sz w:val="28"/>
          <w:szCs w:val="28"/>
          <w:lang w:val="en-US" w:eastAsia="zh-CN"/>
        </w:rPr>
        <w:instrText xml:space="preserve"> EQ \o\ac(</w:instrText>
      </w:r>
      <w:r>
        <w:rPr>
          <w:rFonts w:hint="eastAsia" w:ascii="Times New Roman" w:hAnsi="Calibri" w:eastAsia="宋体" w:cs="Times New Roman"/>
          <w:color w:val="000000"/>
          <w:kern w:val="2"/>
          <w:sz w:val="28"/>
          <w:szCs w:val="28"/>
          <w:lang w:val="en-US" w:eastAsia="zh-CN"/>
        </w:rPr>
        <w:instrText xml:space="preserve">○</w:instrText>
      </w:r>
      <w:r>
        <w:rPr>
          <w:rFonts w:hint="eastAsia" w:ascii="Times New Roman"/>
          <w:color w:val="000000"/>
          <w:sz w:val="28"/>
          <w:szCs w:val="28"/>
          <w:lang w:val="en-US" w:eastAsia="zh-CN"/>
        </w:rPr>
        <w:instrText xml:space="preserve">,</w:instrText>
      </w:r>
      <w:r>
        <w:rPr>
          <w:rFonts w:hint="eastAsia" w:ascii="Times New Roman" w:hAnsi="Calibri" w:eastAsia="宋体" w:cs="Times New Roman"/>
          <w:color w:val="000000"/>
          <w:kern w:val="2"/>
          <w:position w:val="3"/>
          <w:sz w:val="19"/>
          <w:szCs w:val="28"/>
          <w:lang w:val="en-US" w:eastAsia="zh-CN"/>
        </w:rPr>
        <w:instrText xml:space="preserve">14</w:instrText>
      </w:r>
      <w:r>
        <w:rPr>
          <w:rFonts w:hint="eastAsia" w:ascii="Times New Roman"/>
          <w:color w:val="000000"/>
          <w:sz w:val="28"/>
          <w:szCs w:val="28"/>
          <w:lang w:val="en-US" w:eastAsia="zh-CN"/>
        </w:rPr>
        <w:instrText xml:space="preserve">)</w:instrText>
      </w:r>
      <w:r>
        <w:rPr>
          <w:rFonts w:hint="eastAsia" w:ascii="Times New Roman"/>
          <w:color w:val="000000"/>
          <w:sz w:val="28"/>
          <w:szCs w:val="28"/>
          <w:lang w:val="en-US" w:eastAsia="zh-CN"/>
        </w:rPr>
        <w:fldChar w:fldCharType="end"/>
      </w:r>
      <w:r>
        <w:rPr>
          <w:rFonts w:hint="eastAsia" w:ascii="Times New Roman"/>
          <w:color w:val="000000"/>
          <w:sz w:val="28"/>
          <w:szCs w:val="28"/>
          <w:lang w:eastAsia="zh-CN"/>
        </w:rPr>
        <w:t>工程咨询方应组织评标委员会按照招标文件中确定的评标方法进行工程施工评标（含清标），不得选取低于成本价的投标者中标。</w:t>
      </w:r>
    </w:p>
    <w:p>
      <w:pPr>
        <w:numPr>
          <w:ilvl w:val="0"/>
          <w:numId w:val="0"/>
        </w:numPr>
        <w:spacing w:line="360" w:lineRule="auto"/>
        <w:ind w:firstLine="560" w:firstLineChars="200"/>
        <w:rPr>
          <w:rFonts w:hint="eastAsia" w:ascii="Times New Roman"/>
          <w:color w:val="000000"/>
          <w:sz w:val="28"/>
          <w:szCs w:val="28"/>
          <w:lang w:eastAsia="zh-CN"/>
        </w:rPr>
      </w:pPr>
      <w:r>
        <w:rPr>
          <w:rFonts w:hint="eastAsia" w:ascii="Times New Roman"/>
          <w:color w:val="000000"/>
          <w:sz w:val="28"/>
          <w:szCs w:val="28"/>
          <w:lang w:val="en-US" w:eastAsia="zh-CN"/>
        </w:rPr>
        <w:fldChar w:fldCharType="begin"/>
      </w:r>
      <w:r>
        <w:rPr>
          <w:rFonts w:hint="eastAsia" w:ascii="Times New Roman"/>
          <w:color w:val="000000"/>
          <w:sz w:val="28"/>
          <w:szCs w:val="28"/>
          <w:lang w:val="en-US" w:eastAsia="zh-CN"/>
        </w:rPr>
        <w:instrText xml:space="preserve"> EQ \o\ac(</w:instrText>
      </w:r>
      <w:r>
        <w:rPr>
          <w:rFonts w:hint="eastAsia" w:ascii="Times New Roman" w:hAnsi="Calibri" w:eastAsia="宋体" w:cs="Times New Roman"/>
          <w:color w:val="000000"/>
          <w:kern w:val="2"/>
          <w:sz w:val="28"/>
          <w:szCs w:val="28"/>
          <w:lang w:val="en-US" w:eastAsia="zh-CN"/>
        </w:rPr>
        <w:instrText xml:space="preserve">○</w:instrText>
      </w:r>
      <w:r>
        <w:rPr>
          <w:rFonts w:hint="eastAsia" w:ascii="Times New Roman"/>
          <w:color w:val="000000"/>
          <w:sz w:val="28"/>
          <w:szCs w:val="28"/>
          <w:lang w:val="en-US" w:eastAsia="zh-CN"/>
        </w:rPr>
        <w:instrText xml:space="preserve">,</w:instrText>
      </w:r>
      <w:r>
        <w:rPr>
          <w:rFonts w:hint="eastAsia" w:ascii="Times New Roman" w:hAnsi="Calibri" w:eastAsia="宋体" w:cs="Times New Roman"/>
          <w:color w:val="000000"/>
          <w:kern w:val="2"/>
          <w:position w:val="3"/>
          <w:sz w:val="19"/>
          <w:szCs w:val="28"/>
          <w:lang w:val="en-US" w:eastAsia="zh-CN"/>
        </w:rPr>
        <w:instrText xml:space="preserve">15</w:instrText>
      </w:r>
      <w:r>
        <w:rPr>
          <w:rFonts w:hint="eastAsia" w:ascii="Times New Roman"/>
          <w:color w:val="000000"/>
          <w:sz w:val="28"/>
          <w:szCs w:val="28"/>
          <w:lang w:val="en-US" w:eastAsia="zh-CN"/>
        </w:rPr>
        <w:instrText xml:space="preserve">)</w:instrText>
      </w:r>
      <w:r>
        <w:rPr>
          <w:rFonts w:hint="eastAsia" w:ascii="Times New Roman"/>
          <w:color w:val="000000"/>
          <w:sz w:val="28"/>
          <w:szCs w:val="28"/>
          <w:lang w:val="en-US" w:eastAsia="zh-CN"/>
        </w:rPr>
        <w:fldChar w:fldCharType="end"/>
      </w:r>
      <w:r>
        <w:rPr>
          <w:rFonts w:hint="eastAsia" w:ascii="Times New Roman"/>
          <w:color w:val="000000"/>
          <w:sz w:val="28"/>
          <w:szCs w:val="28"/>
          <w:lang w:eastAsia="zh-CN"/>
        </w:rPr>
        <w:t>工程咨询方应协助委托方与拟中标施工单位进行合同谈判，并应协助委托方签订工程施工合同。</w:t>
      </w:r>
    </w:p>
    <w:p>
      <w:pPr>
        <w:numPr>
          <w:ilvl w:val="0"/>
          <w:numId w:val="0"/>
        </w:numPr>
        <w:spacing w:line="360" w:lineRule="auto"/>
        <w:ind w:firstLine="562" w:firstLineChars="200"/>
        <w:rPr>
          <w:rFonts w:hint="default" w:ascii="Times New Roman" w:cs="Times New Roman"/>
          <w:color w:val="000000"/>
          <w:sz w:val="28"/>
          <w:szCs w:val="28"/>
          <w:lang w:val="en-US" w:eastAsia="zh-CN"/>
        </w:rPr>
      </w:pPr>
      <w:r>
        <w:rPr>
          <w:rFonts w:hint="eastAsia" w:ascii="Times New Roman" w:cs="Times New Roman"/>
          <w:b/>
          <w:bCs/>
          <w:color w:val="000000"/>
          <w:sz w:val="28"/>
          <w:szCs w:val="28"/>
          <w:lang w:val="en-US" w:eastAsia="zh-CN"/>
        </w:rPr>
        <w:t>2、收费标准：</w:t>
      </w:r>
      <w:r>
        <w:rPr>
          <w:rFonts w:hint="eastAsia" w:ascii="Times New Roman" w:cs="Times New Roman"/>
          <w:color w:val="000000"/>
          <w:sz w:val="28"/>
          <w:szCs w:val="28"/>
          <w:lang w:val="en-US" w:eastAsia="zh-CN"/>
        </w:rPr>
        <w:t>参考《桂建标〔2018〕37号》的招标代理服务费。</w:t>
      </w:r>
    </w:p>
    <w:tbl>
      <w:tblPr>
        <w:tblStyle w:val="5"/>
        <w:tblW w:w="8586" w:type="dxa"/>
        <w:jc w:val="center"/>
        <w:tblLayout w:type="fixed"/>
        <w:tblCellMar>
          <w:top w:w="0" w:type="dxa"/>
          <w:left w:w="10" w:type="dxa"/>
          <w:bottom w:w="0" w:type="dxa"/>
          <w:right w:w="10" w:type="dxa"/>
        </w:tblCellMar>
      </w:tblPr>
      <w:tblGrid>
        <w:gridCol w:w="3347"/>
        <w:gridCol w:w="1872"/>
        <w:gridCol w:w="1755"/>
        <w:gridCol w:w="1612"/>
      </w:tblGrid>
      <w:tr>
        <w:tblPrEx>
          <w:tblCellMar>
            <w:top w:w="0" w:type="dxa"/>
            <w:left w:w="10" w:type="dxa"/>
            <w:bottom w:w="0" w:type="dxa"/>
            <w:right w:w="10" w:type="dxa"/>
          </w:tblCellMar>
        </w:tblPrEx>
        <w:trPr>
          <w:trHeight w:val="565" w:hRule="exact"/>
          <w:jc w:val="center"/>
        </w:trPr>
        <w:tc>
          <w:tcPr>
            <w:tcW w:w="3347"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lang w:val="zh-TW" w:eastAsia="zh-TW" w:bidi="zh-TW"/>
              </w:rPr>
              <w:t>费用（万</w:t>
            </w:r>
            <w:r>
              <w:rPr>
                <w:rFonts w:hint="eastAsia" w:ascii="宋体" w:hAnsi="宋体" w:cs="宋体"/>
                <w:color w:val="000000"/>
                <w:spacing w:val="0"/>
                <w:w w:val="100"/>
                <w:position w:val="0"/>
                <w:sz w:val="28"/>
                <w:szCs w:val="28"/>
                <w:lang w:val="zh-TW" w:eastAsia="zh-CN" w:bidi="zh-TW"/>
              </w:rPr>
              <w:t>元</w:t>
            </w:r>
            <w:r>
              <w:rPr>
                <w:rFonts w:ascii="宋体" w:hAnsi="宋体" w:eastAsia="宋体" w:cs="宋体"/>
                <w:color w:val="000000"/>
                <w:spacing w:val="0"/>
                <w:w w:val="100"/>
                <w:position w:val="0"/>
                <w:sz w:val="28"/>
                <w:szCs w:val="28"/>
                <w:lang w:val="zh-TW" w:eastAsia="zh-TW" w:bidi="zh-TW"/>
              </w:rPr>
              <w:t>）</w:t>
            </w:r>
          </w:p>
        </w:tc>
        <w:tc>
          <w:tcPr>
            <w:tcW w:w="5239" w:type="dxa"/>
            <w:gridSpan w:val="3"/>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宋体" w:hAnsi="宋体" w:eastAsia="宋体" w:cs="宋体"/>
                <w:color w:val="000000"/>
                <w:spacing w:val="0"/>
                <w:w w:val="100"/>
                <w:position w:val="0"/>
                <w:sz w:val="28"/>
                <w:szCs w:val="28"/>
                <w:lang w:val="zh-TW" w:eastAsia="zh-TW" w:bidi="zh-TW"/>
              </w:rPr>
              <w:t>服务类型费率（</w:t>
            </w:r>
            <w:r>
              <w:rPr>
                <w:rFonts w:hint="eastAsia" w:ascii="宋体" w:hAnsi="宋体" w:cs="宋体"/>
                <w:color w:val="000000"/>
                <w:spacing w:val="0"/>
                <w:w w:val="100"/>
                <w:position w:val="0"/>
                <w:sz w:val="28"/>
                <w:szCs w:val="28"/>
                <w:lang w:val="en-US" w:eastAsia="zh-CN" w:bidi="zh-TW"/>
              </w:rPr>
              <w:t>%</w:t>
            </w:r>
            <w:r>
              <w:rPr>
                <w:rFonts w:ascii="宋体" w:hAnsi="宋体" w:eastAsia="宋体" w:cs="宋体"/>
                <w:color w:val="000000"/>
                <w:spacing w:val="0"/>
                <w:w w:val="100"/>
                <w:position w:val="0"/>
                <w:sz w:val="28"/>
                <w:szCs w:val="28"/>
                <w:lang w:val="zh-TW" w:eastAsia="zh-TW" w:bidi="zh-TW"/>
              </w:rPr>
              <w:t>）</w:t>
            </w:r>
          </w:p>
        </w:tc>
      </w:tr>
      <w:tr>
        <w:tblPrEx>
          <w:tblCellMar>
            <w:top w:w="0" w:type="dxa"/>
            <w:left w:w="10" w:type="dxa"/>
            <w:bottom w:w="0" w:type="dxa"/>
            <w:right w:w="10" w:type="dxa"/>
          </w:tblCellMar>
        </w:tblPrEx>
        <w:trPr>
          <w:trHeight w:val="565" w:hRule="exact"/>
          <w:jc w:val="center"/>
        </w:trPr>
        <w:tc>
          <w:tcPr>
            <w:tcW w:w="3347" w:type="dxa"/>
            <w:vMerge w:val="continue"/>
            <w:tcBorders>
              <w:left w:val="single" w:color="auto" w:sz="4" w:space="0"/>
              <w:bottom w:val="single" w:color="auto" w:sz="4" w:space="0"/>
            </w:tcBorders>
            <w:shd w:val="clear" w:color="auto" w:fill="FFFFFF"/>
            <w:vAlign w:val="center"/>
          </w:tcPr>
          <w:p>
            <w:pPr>
              <w:rPr>
                <w:sz w:val="28"/>
                <w:szCs w:val="28"/>
              </w:rPr>
            </w:pPr>
          </w:p>
        </w:tc>
        <w:tc>
          <w:tcPr>
            <w:tcW w:w="18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宋体" w:hAnsi="宋体" w:eastAsia="宋体" w:cs="宋体"/>
                <w:color w:val="000000"/>
                <w:spacing w:val="0"/>
                <w:w w:val="100"/>
                <w:position w:val="0"/>
                <w:sz w:val="28"/>
                <w:szCs w:val="28"/>
                <w:lang w:val="zh-TW" w:eastAsia="zh-TW" w:bidi="zh-TW"/>
              </w:rPr>
              <w:t>工程招标</w:t>
            </w:r>
          </w:p>
        </w:tc>
        <w:tc>
          <w:tcPr>
            <w:tcW w:w="17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宋体" w:hAnsi="宋体" w:eastAsia="宋体" w:cs="宋体"/>
                <w:color w:val="000000"/>
                <w:spacing w:val="0"/>
                <w:w w:val="100"/>
                <w:position w:val="0"/>
                <w:sz w:val="28"/>
                <w:szCs w:val="28"/>
                <w:lang w:val="zh-TW" w:eastAsia="zh-TW" w:bidi="zh-TW"/>
              </w:rPr>
              <w:t>货物招标</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宋体" w:hAnsi="宋体" w:eastAsia="宋体" w:cs="宋体"/>
                <w:color w:val="000000"/>
                <w:spacing w:val="0"/>
                <w:w w:val="100"/>
                <w:position w:val="0"/>
                <w:sz w:val="28"/>
                <w:szCs w:val="28"/>
                <w:lang w:val="zh-TW" w:eastAsia="zh-TW" w:bidi="zh-TW"/>
              </w:rPr>
              <w:t>服务招标</w:t>
            </w:r>
          </w:p>
        </w:tc>
      </w:tr>
      <w:tr>
        <w:tblPrEx>
          <w:tblCellMar>
            <w:top w:w="0" w:type="dxa"/>
            <w:left w:w="10" w:type="dxa"/>
            <w:bottom w:w="0" w:type="dxa"/>
            <w:right w:w="10" w:type="dxa"/>
          </w:tblCellMar>
        </w:tblPrEx>
        <w:trPr>
          <w:trHeight w:val="551" w:hRule="exact"/>
          <w:jc w:val="center"/>
        </w:trPr>
        <w:tc>
          <w:tcPr>
            <w:tcW w:w="33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100</w:t>
            </w:r>
            <w:r>
              <w:rPr>
                <w:rFonts w:ascii="宋体" w:hAnsi="宋体" w:eastAsia="宋体" w:cs="宋体"/>
                <w:color w:val="000000"/>
                <w:spacing w:val="0"/>
                <w:w w:val="100"/>
                <w:position w:val="0"/>
                <w:sz w:val="28"/>
                <w:szCs w:val="28"/>
                <w:lang w:val="zh-TW" w:eastAsia="zh-TW" w:bidi="zh-TW"/>
              </w:rPr>
              <w:t>以下</w:t>
            </w:r>
          </w:p>
        </w:tc>
        <w:tc>
          <w:tcPr>
            <w:tcW w:w="18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6.300</w:t>
            </w:r>
          </w:p>
        </w:tc>
        <w:tc>
          <w:tcPr>
            <w:tcW w:w="17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9.450</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auto"/>
                <w:spacing w:val="0"/>
                <w:w w:val="100"/>
                <w:position w:val="0"/>
                <w:sz w:val="28"/>
                <w:szCs w:val="28"/>
                <w:lang w:val="en-US" w:eastAsia="en-US" w:bidi="en-US"/>
              </w:rPr>
              <w:t>9.450</w:t>
            </w:r>
          </w:p>
        </w:tc>
      </w:tr>
      <w:tr>
        <w:tblPrEx>
          <w:tblCellMar>
            <w:top w:w="0" w:type="dxa"/>
            <w:left w:w="10" w:type="dxa"/>
            <w:bottom w:w="0" w:type="dxa"/>
            <w:right w:w="10" w:type="dxa"/>
          </w:tblCellMar>
        </w:tblPrEx>
        <w:trPr>
          <w:trHeight w:val="565" w:hRule="exact"/>
          <w:jc w:val="center"/>
        </w:trPr>
        <w:tc>
          <w:tcPr>
            <w:tcW w:w="334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100</w:t>
            </w: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lang w:val="zh-TW" w:eastAsia="zh-TW" w:bidi="zh-TW"/>
              </w:rPr>
              <w:t>500</w:t>
            </w:r>
          </w:p>
        </w:tc>
        <w:tc>
          <w:tcPr>
            <w:tcW w:w="18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4.410</w:t>
            </w:r>
          </w:p>
        </w:tc>
        <w:tc>
          <w:tcPr>
            <w:tcW w:w="17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6.930</w:t>
            </w:r>
          </w:p>
        </w:tc>
        <w:tc>
          <w:tcPr>
            <w:tcW w:w="1612"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5.040</w:t>
            </w:r>
          </w:p>
        </w:tc>
      </w:tr>
      <w:tr>
        <w:tblPrEx>
          <w:tblCellMar>
            <w:top w:w="0" w:type="dxa"/>
            <w:left w:w="10" w:type="dxa"/>
            <w:bottom w:w="0" w:type="dxa"/>
            <w:right w:w="10" w:type="dxa"/>
          </w:tblCellMar>
        </w:tblPrEx>
        <w:trPr>
          <w:trHeight w:val="565" w:hRule="exact"/>
          <w:jc w:val="center"/>
        </w:trPr>
        <w:tc>
          <w:tcPr>
            <w:tcW w:w="334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 xml:space="preserve">500- </w:t>
            </w:r>
            <w:r>
              <w:rPr>
                <w:rFonts w:ascii="Times New Roman" w:hAnsi="Times New Roman" w:eastAsia="Times New Roman" w:cs="Times New Roman"/>
                <w:color w:val="000000"/>
                <w:spacing w:val="0"/>
                <w:w w:val="100"/>
                <w:position w:val="0"/>
                <w:sz w:val="28"/>
                <w:szCs w:val="28"/>
                <w:lang w:val="zh-TW" w:eastAsia="zh-TW" w:bidi="zh-TW"/>
              </w:rPr>
              <w:t>1000</w:t>
            </w:r>
          </w:p>
        </w:tc>
        <w:tc>
          <w:tcPr>
            <w:tcW w:w="187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3.465</w:t>
            </w:r>
          </w:p>
        </w:tc>
        <w:tc>
          <w:tcPr>
            <w:tcW w:w="175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5.040</w:t>
            </w:r>
          </w:p>
        </w:tc>
        <w:tc>
          <w:tcPr>
            <w:tcW w:w="1612"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2.835</w:t>
            </w:r>
          </w:p>
        </w:tc>
      </w:tr>
      <w:tr>
        <w:tblPrEx>
          <w:tblCellMar>
            <w:top w:w="0" w:type="dxa"/>
            <w:left w:w="10" w:type="dxa"/>
            <w:bottom w:w="0" w:type="dxa"/>
            <w:right w:w="10" w:type="dxa"/>
          </w:tblCellMar>
        </w:tblPrEx>
        <w:trPr>
          <w:trHeight w:val="565" w:hRule="exact"/>
          <w:jc w:val="center"/>
        </w:trPr>
        <w:tc>
          <w:tcPr>
            <w:tcW w:w="334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1000-5000</w:t>
            </w:r>
          </w:p>
        </w:tc>
        <w:tc>
          <w:tcPr>
            <w:tcW w:w="187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2.205</w:t>
            </w:r>
          </w:p>
        </w:tc>
        <w:tc>
          <w:tcPr>
            <w:tcW w:w="175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3.150</w:t>
            </w:r>
          </w:p>
        </w:tc>
        <w:tc>
          <w:tcPr>
            <w:tcW w:w="1612"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1.575</w:t>
            </w:r>
          </w:p>
        </w:tc>
      </w:tr>
      <w:tr>
        <w:tblPrEx>
          <w:tblCellMar>
            <w:top w:w="0" w:type="dxa"/>
            <w:left w:w="10" w:type="dxa"/>
            <w:bottom w:w="0" w:type="dxa"/>
            <w:right w:w="10" w:type="dxa"/>
          </w:tblCellMar>
        </w:tblPrEx>
        <w:trPr>
          <w:trHeight w:val="565" w:hRule="exact"/>
          <w:jc w:val="center"/>
        </w:trPr>
        <w:tc>
          <w:tcPr>
            <w:tcW w:w="334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5000-10000</w:t>
            </w:r>
          </w:p>
        </w:tc>
        <w:tc>
          <w:tcPr>
            <w:tcW w:w="187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1.260</w:t>
            </w:r>
          </w:p>
        </w:tc>
        <w:tc>
          <w:tcPr>
            <w:tcW w:w="175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1.575</w:t>
            </w:r>
          </w:p>
        </w:tc>
        <w:tc>
          <w:tcPr>
            <w:tcW w:w="1612"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0.630</w:t>
            </w:r>
          </w:p>
        </w:tc>
      </w:tr>
      <w:tr>
        <w:tblPrEx>
          <w:tblCellMar>
            <w:top w:w="0" w:type="dxa"/>
            <w:left w:w="10" w:type="dxa"/>
            <w:bottom w:w="0" w:type="dxa"/>
            <w:right w:w="10" w:type="dxa"/>
          </w:tblCellMar>
        </w:tblPrEx>
        <w:trPr>
          <w:trHeight w:val="565" w:hRule="exact"/>
          <w:jc w:val="center"/>
        </w:trPr>
        <w:tc>
          <w:tcPr>
            <w:tcW w:w="334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1 0000 - 50000</w:t>
            </w:r>
          </w:p>
        </w:tc>
        <w:tc>
          <w:tcPr>
            <w:tcW w:w="187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0.315</w:t>
            </w:r>
          </w:p>
        </w:tc>
        <w:tc>
          <w:tcPr>
            <w:tcW w:w="175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0.315</w:t>
            </w:r>
          </w:p>
        </w:tc>
        <w:tc>
          <w:tcPr>
            <w:tcW w:w="1612"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0.315</w:t>
            </w:r>
          </w:p>
        </w:tc>
      </w:tr>
      <w:tr>
        <w:tblPrEx>
          <w:tblCellMar>
            <w:top w:w="0" w:type="dxa"/>
            <w:left w:w="10" w:type="dxa"/>
            <w:bottom w:w="0" w:type="dxa"/>
            <w:right w:w="10" w:type="dxa"/>
          </w:tblCellMar>
        </w:tblPrEx>
        <w:trPr>
          <w:trHeight w:val="551" w:hRule="exact"/>
          <w:jc w:val="center"/>
        </w:trPr>
        <w:tc>
          <w:tcPr>
            <w:tcW w:w="334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tabs>
                <w:tab w:val="left" w:pos="1172"/>
              </w:tabs>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50000</w:t>
            </w:r>
            <w:r>
              <w:rPr>
                <w:rFonts w:ascii="Times New Roman" w:hAnsi="Times New Roman" w:eastAsia="Times New Roman" w:cs="Times New Roman"/>
                <w:color w:val="000000"/>
                <w:spacing w:val="0"/>
                <w:w w:val="100"/>
                <w:position w:val="0"/>
                <w:sz w:val="28"/>
                <w:szCs w:val="28"/>
                <w:lang w:val="en-US" w:eastAsia="en-US" w:bidi="en-US"/>
              </w:rPr>
              <w:t>-</w:t>
            </w:r>
            <w:r>
              <w:rPr>
                <w:rFonts w:hint="eastAsia" w:eastAsia="宋体" w:cs="Times New Roman"/>
                <w:color w:val="000000"/>
                <w:spacing w:val="0"/>
                <w:w w:val="100"/>
                <w:position w:val="0"/>
                <w:sz w:val="28"/>
                <w:szCs w:val="28"/>
                <w:lang w:val="en-US" w:eastAsia="zh-CN" w:bidi="en-US"/>
              </w:rPr>
              <w:t>1</w:t>
            </w:r>
            <w:r>
              <w:rPr>
                <w:rFonts w:ascii="Times New Roman" w:hAnsi="Times New Roman" w:eastAsia="Times New Roman" w:cs="Times New Roman"/>
                <w:color w:val="000000"/>
                <w:spacing w:val="0"/>
                <w:w w:val="100"/>
                <w:position w:val="0"/>
                <w:sz w:val="28"/>
                <w:szCs w:val="28"/>
                <w:lang w:val="zh-TW" w:eastAsia="zh-TW" w:bidi="zh-TW"/>
              </w:rPr>
              <w:t>00000</w:t>
            </w:r>
          </w:p>
        </w:tc>
        <w:tc>
          <w:tcPr>
            <w:tcW w:w="187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0.221</w:t>
            </w:r>
          </w:p>
        </w:tc>
        <w:tc>
          <w:tcPr>
            <w:tcW w:w="175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0.221</w:t>
            </w:r>
          </w:p>
        </w:tc>
        <w:tc>
          <w:tcPr>
            <w:tcW w:w="1612"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0.221</w:t>
            </w:r>
          </w:p>
        </w:tc>
      </w:tr>
      <w:tr>
        <w:tblPrEx>
          <w:tblCellMar>
            <w:top w:w="0" w:type="dxa"/>
            <w:left w:w="10" w:type="dxa"/>
            <w:bottom w:w="0" w:type="dxa"/>
            <w:right w:w="10" w:type="dxa"/>
          </w:tblCellMar>
        </w:tblPrEx>
        <w:trPr>
          <w:trHeight w:val="565" w:hRule="exact"/>
          <w:jc w:val="center"/>
        </w:trPr>
        <w:tc>
          <w:tcPr>
            <w:tcW w:w="334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tabs>
                <w:tab w:val="left" w:pos="1172"/>
              </w:tabs>
              <w:bidi w:val="0"/>
              <w:spacing w:before="0" w:after="0" w:line="240" w:lineRule="auto"/>
              <w:ind w:left="0" w:right="0" w:firstLine="0"/>
              <w:jc w:val="left"/>
              <w:rPr>
                <w:rFonts w:ascii="Times New Roman" w:hAnsi="Times New Roman" w:eastAsia="Times New Roman" w:cs="Times New Roman"/>
                <w:color w:val="000000"/>
                <w:spacing w:val="0"/>
                <w:w w:val="100"/>
                <w:position w:val="0"/>
                <w:sz w:val="28"/>
                <w:szCs w:val="28"/>
                <w:lang w:val="zh-TW" w:eastAsia="zh-TW" w:bidi="zh-TW"/>
              </w:rPr>
            </w:pPr>
            <w:r>
              <w:rPr>
                <w:rFonts w:ascii="Times New Roman" w:hAnsi="Times New Roman" w:eastAsia="Times New Roman" w:cs="Times New Roman"/>
                <w:color w:val="000000"/>
                <w:spacing w:val="0"/>
                <w:w w:val="100"/>
                <w:position w:val="0"/>
                <w:sz w:val="28"/>
                <w:szCs w:val="28"/>
                <w:lang w:val="zh-TW" w:eastAsia="zh-TW" w:bidi="zh-TW"/>
              </w:rPr>
              <w:t xml:space="preserve">100000 </w:t>
            </w:r>
            <w:r>
              <w:rPr>
                <w:rFonts w:ascii="Times New Roman" w:hAnsi="Times New Roman" w:eastAsia="Times New Roman" w:cs="Times New Roman"/>
                <w:color w:val="000000"/>
                <w:spacing w:val="0"/>
                <w:w w:val="100"/>
                <w:position w:val="0"/>
                <w:sz w:val="28"/>
                <w:szCs w:val="28"/>
                <w:lang w:val="en-US" w:eastAsia="en-US" w:bidi="zh-TW"/>
              </w:rPr>
              <w:t>-</w:t>
            </w:r>
            <w:r>
              <w:rPr>
                <w:rFonts w:ascii="Times New Roman" w:hAnsi="Times New Roman" w:eastAsia="Times New Roman" w:cs="Times New Roman"/>
                <w:color w:val="000000"/>
                <w:spacing w:val="0"/>
                <w:w w:val="100"/>
                <w:position w:val="0"/>
                <w:sz w:val="28"/>
                <w:szCs w:val="28"/>
                <w:lang w:val="zh-TW" w:eastAsia="zh-TW" w:bidi="zh-TW"/>
              </w:rPr>
              <w:t>500000</w:t>
            </w:r>
          </w:p>
        </w:tc>
        <w:tc>
          <w:tcPr>
            <w:tcW w:w="187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tabs>
                <w:tab w:val="left" w:pos="1172"/>
              </w:tabs>
              <w:bidi w:val="0"/>
              <w:spacing w:before="0" w:after="0" w:line="240" w:lineRule="auto"/>
              <w:ind w:left="0" w:right="0" w:firstLine="0"/>
              <w:jc w:val="center"/>
              <w:rPr>
                <w:rFonts w:ascii="Times New Roman" w:hAnsi="Times New Roman" w:eastAsia="Times New Roman" w:cs="Times New Roman"/>
                <w:color w:val="000000"/>
                <w:spacing w:val="0"/>
                <w:w w:val="100"/>
                <w:position w:val="0"/>
                <w:sz w:val="28"/>
                <w:szCs w:val="28"/>
                <w:lang w:val="zh-TW" w:eastAsia="zh-TW" w:bidi="zh-TW"/>
              </w:rPr>
            </w:pPr>
            <w:r>
              <w:rPr>
                <w:rFonts w:ascii="Times New Roman" w:hAnsi="Times New Roman" w:eastAsia="Times New Roman" w:cs="Times New Roman"/>
                <w:color w:val="000000"/>
                <w:spacing w:val="0"/>
                <w:w w:val="100"/>
                <w:position w:val="0"/>
                <w:sz w:val="28"/>
                <w:szCs w:val="28"/>
                <w:lang w:val="en-US" w:eastAsia="en-US" w:bidi="zh-TW"/>
              </w:rPr>
              <w:t>0.050</w:t>
            </w:r>
          </w:p>
        </w:tc>
        <w:tc>
          <w:tcPr>
            <w:tcW w:w="175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0.050</w:t>
            </w:r>
          </w:p>
        </w:tc>
        <w:tc>
          <w:tcPr>
            <w:tcW w:w="1612"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0.050</w:t>
            </w:r>
          </w:p>
        </w:tc>
      </w:tr>
      <w:tr>
        <w:tblPrEx>
          <w:tblCellMar>
            <w:top w:w="0" w:type="dxa"/>
            <w:left w:w="10" w:type="dxa"/>
            <w:bottom w:w="0" w:type="dxa"/>
            <w:right w:w="10" w:type="dxa"/>
          </w:tblCellMar>
        </w:tblPrEx>
        <w:trPr>
          <w:trHeight w:val="565" w:hRule="exact"/>
          <w:jc w:val="center"/>
        </w:trPr>
        <w:tc>
          <w:tcPr>
            <w:tcW w:w="334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500000</w:t>
            </w: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lang w:val="zh-TW" w:eastAsia="zh-TW" w:bidi="zh-TW"/>
              </w:rPr>
              <w:t>1000000</w:t>
            </w:r>
          </w:p>
        </w:tc>
        <w:tc>
          <w:tcPr>
            <w:tcW w:w="187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0.038</w:t>
            </w:r>
          </w:p>
        </w:tc>
        <w:tc>
          <w:tcPr>
            <w:tcW w:w="175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0.038</w:t>
            </w:r>
          </w:p>
        </w:tc>
        <w:tc>
          <w:tcPr>
            <w:tcW w:w="1612"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0.038</w:t>
            </w:r>
          </w:p>
        </w:tc>
      </w:tr>
      <w:tr>
        <w:tblPrEx>
          <w:tblCellMar>
            <w:top w:w="0" w:type="dxa"/>
            <w:left w:w="10" w:type="dxa"/>
            <w:bottom w:w="0" w:type="dxa"/>
            <w:right w:w="10" w:type="dxa"/>
          </w:tblCellMar>
        </w:tblPrEx>
        <w:trPr>
          <w:trHeight w:val="579" w:hRule="exact"/>
          <w:jc w:val="center"/>
        </w:trPr>
        <w:tc>
          <w:tcPr>
            <w:tcW w:w="3347"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1000000</w:t>
            </w:r>
            <w:r>
              <w:rPr>
                <w:rFonts w:ascii="宋体" w:hAnsi="宋体" w:eastAsia="宋体" w:cs="宋体"/>
                <w:color w:val="000000"/>
                <w:spacing w:val="0"/>
                <w:w w:val="100"/>
                <w:position w:val="0"/>
                <w:sz w:val="28"/>
                <w:szCs w:val="28"/>
                <w:lang w:val="zh-TW" w:eastAsia="zh-TW" w:bidi="zh-TW"/>
              </w:rPr>
              <w:t>以上</w:t>
            </w:r>
          </w:p>
        </w:tc>
        <w:tc>
          <w:tcPr>
            <w:tcW w:w="187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0.025</w:t>
            </w:r>
          </w:p>
        </w:tc>
        <w:tc>
          <w:tcPr>
            <w:tcW w:w="175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0.025</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0.025</w:t>
            </w:r>
          </w:p>
        </w:tc>
      </w:tr>
    </w:tbl>
    <w:p>
      <w:pPr>
        <w:pStyle w:val="11"/>
        <w:keepNext w:val="0"/>
        <w:keepLines w:val="0"/>
        <w:widowControl w:val="0"/>
        <w:shd w:val="clear" w:color="auto" w:fill="auto"/>
        <w:bidi w:val="0"/>
        <w:spacing w:before="0" w:after="240" w:line="240" w:lineRule="auto"/>
        <w:ind w:left="0" w:right="0" w:firstLine="560" w:firstLineChars="200"/>
        <w:jc w:val="left"/>
        <w:rPr>
          <w:color w:val="000000"/>
          <w:spacing w:val="0"/>
          <w:w w:val="100"/>
          <w:position w:val="0"/>
          <w:sz w:val="28"/>
          <w:szCs w:val="28"/>
        </w:rPr>
      </w:pPr>
      <w:r>
        <w:rPr>
          <w:color w:val="000000"/>
          <w:spacing w:val="0"/>
          <w:w w:val="100"/>
          <w:position w:val="0"/>
          <w:sz w:val="28"/>
          <w:szCs w:val="28"/>
        </w:rPr>
        <w:t>注：计费标准分别按建筑安装工程费用、货物（设备及工器具购置等）费用及</w:t>
      </w:r>
      <w:r>
        <w:rPr>
          <w:rFonts w:hint="eastAsia"/>
          <w:color w:val="000000"/>
          <w:spacing w:val="0"/>
          <w:w w:val="100"/>
          <w:position w:val="0"/>
          <w:sz w:val="28"/>
          <w:szCs w:val="28"/>
          <w:lang w:eastAsia="zh-CN"/>
        </w:rPr>
        <w:t>服务</w:t>
      </w:r>
      <w:r>
        <w:rPr>
          <w:color w:val="000000"/>
          <w:spacing w:val="0"/>
          <w:w w:val="100"/>
          <w:position w:val="0"/>
          <w:sz w:val="28"/>
          <w:szCs w:val="28"/>
        </w:rPr>
        <w:t>（勘察、</w:t>
      </w:r>
      <w:r>
        <w:rPr>
          <w:rFonts w:hint="eastAsia"/>
          <w:color w:val="000000"/>
          <w:spacing w:val="0"/>
          <w:w w:val="100"/>
          <w:position w:val="0"/>
          <w:sz w:val="28"/>
          <w:szCs w:val="28"/>
          <w:lang w:eastAsia="zh-CN"/>
        </w:rPr>
        <w:t>设计</w:t>
      </w:r>
      <w:r>
        <w:rPr>
          <w:color w:val="000000"/>
          <w:spacing w:val="0"/>
          <w:w w:val="100"/>
          <w:position w:val="0"/>
          <w:sz w:val="28"/>
          <w:szCs w:val="28"/>
        </w:rPr>
        <w:t>、咨询、</w:t>
      </w:r>
      <w:r>
        <w:rPr>
          <w:rFonts w:hint="eastAsia"/>
          <w:color w:val="000000"/>
          <w:spacing w:val="0"/>
          <w:w w:val="100"/>
          <w:position w:val="0"/>
          <w:sz w:val="28"/>
          <w:szCs w:val="28"/>
          <w:lang w:eastAsia="zh-CN"/>
        </w:rPr>
        <w:t>监理</w:t>
      </w:r>
      <w:r>
        <w:rPr>
          <w:color w:val="000000"/>
          <w:spacing w:val="0"/>
          <w:w w:val="100"/>
          <w:position w:val="0"/>
          <w:sz w:val="28"/>
          <w:szCs w:val="28"/>
        </w:rPr>
        <w:t>等）费用，</w:t>
      </w:r>
      <w:r>
        <w:rPr>
          <w:rFonts w:hint="eastAsia"/>
          <w:color w:val="000000"/>
          <w:spacing w:val="0"/>
          <w:w w:val="100"/>
          <w:position w:val="0"/>
          <w:sz w:val="28"/>
          <w:szCs w:val="28"/>
          <w:lang w:eastAsia="zh-CN"/>
        </w:rPr>
        <w:t>以差额定</w:t>
      </w:r>
      <w:r>
        <w:rPr>
          <w:color w:val="000000"/>
          <w:spacing w:val="0"/>
          <w:w w:val="100"/>
          <w:position w:val="0"/>
          <w:sz w:val="28"/>
          <w:szCs w:val="28"/>
        </w:rPr>
        <w:t>率分档</w:t>
      </w:r>
      <w:r>
        <w:rPr>
          <w:rFonts w:hint="eastAsia"/>
          <w:color w:val="000000"/>
          <w:spacing w:val="0"/>
          <w:w w:val="100"/>
          <w:position w:val="0"/>
          <w:sz w:val="28"/>
          <w:szCs w:val="28"/>
          <w:lang w:eastAsia="zh-CN"/>
        </w:rPr>
        <w:t>累进方</w:t>
      </w:r>
      <w:r>
        <w:rPr>
          <w:color w:val="000000"/>
          <w:spacing w:val="0"/>
          <w:w w:val="100"/>
          <w:position w:val="0"/>
          <w:sz w:val="28"/>
          <w:szCs w:val="28"/>
        </w:rPr>
        <w:t>法计算。</w:t>
      </w:r>
    </w:p>
    <w:p>
      <w:pPr>
        <w:numPr>
          <w:ilvl w:val="0"/>
          <w:numId w:val="0"/>
        </w:numPr>
        <w:spacing w:line="360" w:lineRule="auto"/>
        <w:ind w:firstLine="562" w:firstLineChars="200"/>
        <w:rPr>
          <w:rFonts w:hint="eastAsia" w:ascii="Times New Roman"/>
          <w:b/>
          <w:bCs/>
          <w:color w:val="000000"/>
          <w:sz w:val="28"/>
          <w:szCs w:val="28"/>
          <w:lang w:val="en-US" w:eastAsia="zh-CN"/>
        </w:rPr>
      </w:pPr>
      <w:r>
        <w:rPr>
          <w:rFonts w:hint="eastAsia" w:ascii="Times New Roman"/>
          <w:b/>
          <w:bCs/>
          <w:color w:val="000000"/>
          <w:sz w:val="28"/>
          <w:szCs w:val="28"/>
          <w:lang w:val="en-US" w:eastAsia="zh-CN"/>
        </w:rPr>
        <w:t>（二）材料设备采购代理和管理</w:t>
      </w:r>
    </w:p>
    <w:p>
      <w:pPr>
        <w:numPr>
          <w:ilvl w:val="0"/>
          <w:numId w:val="0"/>
        </w:numPr>
        <w:spacing w:line="360" w:lineRule="auto"/>
        <w:ind w:firstLine="562" w:firstLineChars="200"/>
        <w:rPr>
          <w:rFonts w:hint="eastAsia" w:ascii="Times New Roman"/>
          <w:b/>
          <w:bCs/>
          <w:color w:val="000000"/>
          <w:sz w:val="28"/>
          <w:szCs w:val="28"/>
          <w:lang w:eastAsia="zh-CN"/>
        </w:rPr>
      </w:pPr>
      <w:r>
        <w:rPr>
          <w:rFonts w:hint="eastAsia" w:ascii="Times New Roman"/>
          <w:b/>
          <w:bCs/>
          <w:color w:val="000000"/>
          <w:sz w:val="28"/>
          <w:szCs w:val="28"/>
          <w:lang w:val="en-US" w:eastAsia="zh-CN"/>
        </w:rPr>
        <w:t>1、</w:t>
      </w:r>
      <w:r>
        <w:rPr>
          <w:rFonts w:hint="eastAsia" w:ascii="Times New Roman"/>
          <w:b/>
          <w:bCs/>
          <w:color w:val="000000"/>
          <w:sz w:val="28"/>
          <w:szCs w:val="28"/>
          <w:lang w:eastAsia="zh-CN"/>
        </w:rPr>
        <w:t>主要工作内容：</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①</w:t>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工程咨询方受托提供材料设备采购管理的，应制定材料设备采购计划，并应根据需要分别制定直接采购、询价采购和招标采购管理制度，报送委托方批准后实施。</w:t>
      </w:r>
    </w:p>
    <w:p>
      <w:pPr>
        <w:pStyle w:val="13"/>
        <w:overflowPunct w:val="0"/>
        <w:spacing w:line="360" w:lineRule="auto"/>
        <w:ind w:firstLine="560" w:firstLineChars="200"/>
        <w:jc w:val="both"/>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②</w:t>
      </w:r>
      <w:r>
        <w:rPr>
          <w:rFonts w:hint="eastAsia" w:ascii="宋体" w:hAnsi="宋体" w:eastAsia="宋体" w:cs="宋体"/>
          <w:color w:val="000000"/>
          <w:spacing w:val="0"/>
          <w:w w:val="100"/>
          <w:kern w:val="2"/>
          <w:position w:val="0"/>
          <w:sz w:val="28"/>
          <w:szCs w:val="28"/>
          <w:u w:val="none"/>
          <w:shd w:val="clear" w:color="auto" w:fill="auto"/>
          <w:lang w:val="zh-TW" w:eastAsia="zh-TW" w:bidi="zh-TW"/>
        </w:rPr>
        <w:t>对于需要采用直接采购方式进行采购的，工程咨询方应就每一种直接采购产品提供专门咨询报告，对于超过暂估价的产品应重点报告，并应建立直接采购产品台账。</w:t>
      </w:r>
    </w:p>
    <w:p>
      <w:pPr>
        <w:pStyle w:val="13"/>
        <w:overflowPunct w:val="0"/>
        <w:spacing w:line="360" w:lineRule="auto"/>
        <w:ind w:firstLine="560" w:firstLineChars="200"/>
        <w:jc w:val="both"/>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③</w:t>
      </w:r>
      <w:r>
        <w:rPr>
          <w:rFonts w:hint="eastAsia" w:ascii="宋体" w:hAnsi="宋体" w:eastAsia="宋体" w:cs="宋体"/>
          <w:color w:val="000000"/>
          <w:spacing w:val="0"/>
          <w:w w:val="100"/>
          <w:kern w:val="2"/>
          <w:position w:val="0"/>
          <w:sz w:val="28"/>
          <w:szCs w:val="28"/>
          <w:u w:val="none"/>
          <w:shd w:val="clear" w:color="auto" w:fill="auto"/>
          <w:lang w:val="zh-TW" w:eastAsia="zh-TW" w:bidi="zh-TW"/>
        </w:rPr>
        <w:t>对于需要采用询价采购方式进行采购的，工程咨询方应制定询价采购产品清单，并应编制询价书，明确产品技术要求和主要合同条款，列出拟询价供应商清单，报送委托方批准。</w:t>
      </w:r>
    </w:p>
    <w:p>
      <w:pPr>
        <w:pStyle w:val="13"/>
        <w:overflowPunct w:val="0"/>
        <w:spacing w:line="360" w:lineRule="auto"/>
        <w:ind w:firstLine="560" w:firstLineChars="200"/>
        <w:jc w:val="both"/>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④</w:t>
      </w:r>
      <w:r>
        <w:rPr>
          <w:rFonts w:hint="eastAsia" w:ascii="宋体" w:hAnsi="宋体" w:eastAsia="宋体" w:cs="宋体"/>
          <w:color w:val="000000"/>
          <w:spacing w:val="0"/>
          <w:w w:val="100"/>
          <w:kern w:val="2"/>
          <w:position w:val="0"/>
          <w:sz w:val="28"/>
          <w:szCs w:val="28"/>
          <w:u w:val="none"/>
          <w:shd w:val="clear" w:color="auto" w:fill="auto"/>
          <w:lang w:val="zh-TW" w:eastAsia="zh-TW" w:bidi="zh-TW"/>
        </w:rPr>
        <w:t>对于需要采用询价采购方式进行采购的，工程咨询方应组织询价小组，向拟询价供应商发出报价邀请并进行资格预审。应制定评比办法，对不少于三家公开报价的单位进行评比，并应根据评比结果推荐预成交供应商，出具询价结果报告报送委托方。</w:t>
      </w:r>
    </w:p>
    <w:p>
      <w:pPr>
        <w:pStyle w:val="13"/>
        <w:overflowPunct w:val="0"/>
        <w:spacing w:line="360" w:lineRule="auto"/>
        <w:ind w:firstLine="560" w:firstLineChars="200"/>
        <w:jc w:val="both"/>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⑤</w:t>
      </w:r>
      <w:r>
        <w:rPr>
          <w:rFonts w:hint="eastAsia" w:ascii="宋体" w:hAnsi="宋体" w:eastAsia="宋体" w:cs="宋体"/>
          <w:color w:val="000000"/>
          <w:spacing w:val="0"/>
          <w:w w:val="100"/>
          <w:kern w:val="2"/>
          <w:position w:val="0"/>
          <w:sz w:val="28"/>
          <w:szCs w:val="28"/>
          <w:u w:val="none"/>
          <w:shd w:val="clear" w:color="auto" w:fill="auto"/>
          <w:lang w:val="zh-TW" w:eastAsia="zh-TW" w:bidi="zh-TW"/>
        </w:rPr>
        <w:t>对于需要采用招标采购方式进行采购的，工程咨询方应合理制定招标条件，提出技术要求，发布招标公告或招标邀请函。</w:t>
      </w:r>
    </w:p>
    <w:p>
      <w:pPr>
        <w:pStyle w:val="13"/>
        <w:overflowPunct w:val="0"/>
        <w:spacing w:line="360" w:lineRule="auto"/>
        <w:ind w:firstLine="560" w:firstLineChars="200"/>
        <w:jc w:val="both"/>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⑥</w:t>
      </w:r>
      <w:r>
        <w:rPr>
          <w:rFonts w:hint="eastAsia" w:ascii="宋体" w:hAnsi="宋体" w:eastAsia="宋体" w:cs="宋体"/>
          <w:color w:val="000000"/>
          <w:spacing w:val="0"/>
          <w:w w:val="100"/>
          <w:kern w:val="2"/>
          <w:position w:val="0"/>
          <w:sz w:val="28"/>
          <w:szCs w:val="28"/>
          <w:u w:val="none"/>
          <w:shd w:val="clear" w:color="auto" w:fill="auto"/>
          <w:lang w:val="zh-TW" w:eastAsia="zh-TW" w:bidi="zh-TW"/>
        </w:rPr>
        <w:t>对于需要采用招标采购方式进行采购的，工程咨询方应编制资格预审文件、招标文件，制定评标办法，经委托方同意后组织开标评标，并应协助委托方定标。</w:t>
      </w:r>
    </w:p>
    <w:p>
      <w:pPr>
        <w:pStyle w:val="13"/>
        <w:overflowPunct w:val="0"/>
        <w:spacing w:line="360" w:lineRule="auto"/>
        <w:ind w:firstLine="560" w:firstLineChars="200"/>
        <w:jc w:val="both"/>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⑦</w:t>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工程咨询方应制定材料设备进场验收程序，并应将其写入招标文件和合同文件。</w:t>
      </w:r>
    </w:p>
    <w:p>
      <w:pPr>
        <w:pStyle w:val="13"/>
        <w:overflowPunct w:val="0"/>
        <w:spacing w:line="360" w:lineRule="auto"/>
        <w:ind w:firstLine="560" w:firstLineChars="200"/>
        <w:jc w:val="both"/>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⑧</w:t>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工程咨询方应协助委托方进行合同谈判，详细列明付款条件、交货验收要求、交接保存责任等主要条款。</w:t>
      </w:r>
    </w:p>
    <w:p>
      <w:pPr>
        <w:pStyle w:val="13"/>
        <w:overflowPunct w:val="0"/>
        <w:spacing w:line="360" w:lineRule="auto"/>
        <w:ind w:firstLine="560" w:firstLineChars="200"/>
        <w:jc w:val="both"/>
        <w:rPr>
          <w:rFonts w:ascii="宋体" w:cs="宋体"/>
        </w:rPr>
      </w:pPr>
      <w:r>
        <w:rPr>
          <w:rFonts w:hint="eastAsia" w:ascii="宋体" w:hAnsi="宋体" w:cs="宋体"/>
          <w:color w:val="000000"/>
          <w:spacing w:val="0"/>
          <w:w w:val="100"/>
          <w:kern w:val="2"/>
          <w:position w:val="0"/>
          <w:sz w:val="28"/>
          <w:szCs w:val="28"/>
          <w:u w:val="none"/>
          <w:shd w:val="clear" w:color="auto" w:fill="auto"/>
          <w:lang w:val="zh-TW" w:eastAsia="zh-CN" w:bidi="zh-TW"/>
        </w:rPr>
        <w:t>⑨</w:t>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工程咨询方应在合同谈判基础上，结合合同示范文本，协助委托方签订材料设备供货合同，并可监督管理材料设备供货合同履行。</w:t>
      </w:r>
    </w:p>
    <w:p>
      <w:pPr>
        <w:pStyle w:val="10"/>
        <w:keepNext w:val="0"/>
        <w:keepLines w:val="0"/>
        <w:widowControl w:val="0"/>
        <w:shd w:val="clear" w:color="auto" w:fill="auto"/>
        <w:bidi w:val="0"/>
        <w:spacing w:before="0" w:after="0" w:line="240" w:lineRule="auto"/>
        <w:ind w:left="0" w:right="0" w:firstLine="562" w:firstLineChars="200"/>
        <w:jc w:val="left"/>
        <w:rPr>
          <w:rFonts w:hint="eastAsia" w:ascii="Times New Roman" w:cs="Times New Roman"/>
          <w:color w:val="000000"/>
          <w:sz w:val="28"/>
          <w:szCs w:val="28"/>
          <w:lang w:val="en-US" w:eastAsia="zh-CN"/>
        </w:rPr>
      </w:pPr>
      <w:r>
        <w:rPr>
          <w:rFonts w:hint="eastAsia" w:ascii="Times New Roman" w:cs="Times New Roman"/>
          <w:b/>
          <w:bCs/>
          <w:color w:val="000000"/>
          <w:sz w:val="28"/>
          <w:szCs w:val="28"/>
          <w:lang w:val="en-US" w:eastAsia="zh-CN"/>
        </w:rPr>
        <w:t>2、收费标准：</w:t>
      </w:r>
      <w:r>
        <w:rPr>
          <w:rFonts w:hint="eastAsia" w:ascii="Times New Roman" w:cs="Times New Roman"/>
          <w:color w:val="000000"/>
          <w:sz w:val="28"/>
          <w:szCs w:val="28"/>
          <w:lang w:val="en-US" w:eastAsia="zh-CN"/>
        </w:rPr>
        <w:t>参考《桂建标〔2018〕37号》的招标代理服务费。</w:t>
      </w:r>
    </w:p>
    <w:p>
      <w:pPr>
        <w:pStyle w:val="10"/>
        <w:keepNext w:val="0"/>
        <w:keepLines w:val="0"/>
        <w:widowControl w:val="0"/>
        <w:shd w:val="clear" w:color="auto" w:fill="auto"/>
        <w:bidi w:val="0"/>
        <w:spacing w:before="0" w:after="0" w:line="240" w:lineRule="auto"/>
        <w:ind w:left="0" w:right="0" w:firstLine="560" w:firstLineChars="200"/>
        <w:jc w:val="left"/>
        <w:rPr>
          <w:rFonts w:hint="eastAsia" w:ascii="Times New Roman" w:cs="Times New Roman"/>
          <w:color w:val="000000"/>
          <w:sz w:val="28"/>
          <w:szCs w:val="28"/>
          <w:lang w:val="en-US" w:eastAsia="zh-CN"/>
        </w:rPr>
      </w:pPr>
    </w:p>
    <w:tbl>
      <w:tblPr>
        <w:tblStyle w:val="5"/>
        <w:tblW w:w="8730" w:type="dxa"/>
        <w:jc w:val="center"/>
        <w:tblLayout w:type="fixed"/>
        <w:tblCellMar>
          <w:top w:w="0" w:type="dxa"/>
          <w:left w:w="10" w:type="dxa"/>
          <w:bottom w:w="0" w:type="dxa"/>
          <w:right w:w="10" w:type="dxa"/>
        </w:tblCellMar>
      </w:tblPr>
      <w:tblGrid>
        <w:gridCol w:w="3495"/>
        <w:gridCol w:w="1887"/>
        <w:gridCol w:w="1722"/>
        <w:gridCol w:w="1626"/>
      </w:tblGrid>
      <w:tr>
        <w:tblPrEx>
          <w:tblCellMar>
            <w:top w:w="0" w:type="dxa"/>
            <w:left w:w="10" w:type="dxa"/>
            <w:bottom w:w="0" w:type="dxa"/>
            <w:right w:w="10" w:type="dxa"/>
          </w:tblCellMar>
        </w:tblPrEx>
        <w:trPr>
          <w:trHeight w:val="565" w:hRule="exact"/>
          <w:jc w:val="center"/>
        </w:trPr>
        <w:tc>
          <w:tcPr>
            <w:tcW w:w="3495"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lang w:val="zh-TW" w:eastAsia="zh-TW" w:bidi="zh-TW"/>
              </w:rPr>
              <w:t>费用（万</w:t>
            </w:r>
            <w:r>
              <w:rPr>
                <w:rFonts w:hint="eastAsia" w:ascii="宋体" w:hAnsi="宋体" w:cs="宋体"/>
                <w:color w:val="000000"/>
                <w:spacing w:val="0"/>
                <w:w w:val="100"/>
                <w:position w:val="0"/>
                <w:sz w:val="28"/>
                <w:szCs w:val="28"/>
                <w:lang w:val="zh-TW" w:eastAsia="zh-CN" w:bidi="zh-TW"/>
              </w:rPr>
              <w:t>元</w:t>
            </w:r>
            <w:r>
              <w:rPr>
                <w:rFonts w:ascii="宋体" w:hAnsi="宋体" w:eastAsia="宋体" w:cs="宋体"/>
                <w:color w:val="000000"/>
                <w:spacing w:val="0"/>
                <w:w w:val="100"/>
                <w:position w:val="0"/>
                <w:sz w:val="28"/>
                <w:szCs w:val="28"/>
                <w:lang w:val="zh-TW" w:eastAsia="zh-TW" w:bidi="zh-TW"/>
              </w:rPr>
              <w:t>）</w:t>
            </w:r>
          </w:p>
        </w:tc>
        <w:tc>
          <w:tcPr>
            <w:tcW w:w="5235" w:type="dxa"/>
            <w:gridSpan w:val="3"/>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lang w:val="zh-TW" w:eastAsia="zh-TW" w:bidi="zh-TW"/>
              </w:rPr>
              <w:t>服务类型费率（</w:t>
            </w:r>
            <w:r>
              <w:rPr>
                <w:rFonts w:hint="eastAsia" w:ascii="宋体" w:hAnsi="宋体" w:cs="宋体"/>
                <w:color w:val="000000"/>
                <w:spacing w:val="0"/>
                <w:w w:val="100"/>
                <w:position w:val="0"/>
                <w:sz w:val="28"/>
                <w:szCs w:val="28"/>
                <w:lang w:val="en-US" w:eastAsia="zh-CN" w:bidi="zh-TW"/>
              </w:rPr>
              <w:t>%</w:t>
            </w:r>
            <w:r>
              <w:rPr>
                <w:rFonts w:ascii="宋体" w:hAnsi="宋体" w:eastAsia="宋体" w:cs="宋体"/>
                <w:color w:val="000000"/>
                <w:spacing w:val="0"/>
                <w:w w:val="100"/>
                <w:position w:val="0"/>
                <w:sz w:val="28"/>
                <w:szCs w:val="28"/>
                <w:lang w:val="zh-TW" w:eastAsia="zh-TW" w:bidi="zh-TW"/>
              </w:rPr>
              <w:t>）</w:t>
            </w:r>
          </w:p>
        </w:tc>
      </w:tr>
      <w:tr>
        <w:tblPrEx>
          <w:tblCellMar>
            <w:top w:w="0" w:type="dxa"/>
            <w:left w:w="10" w:type="dxa"/>
            <w:bottom w:w="0" w:type="dxa"/>
            <w:right w:w="10" w:type="dxa"/>
          </w:tblCellMar>
        </w:tblPrEx>
        <w:trPr>
          <w:trHeight w:val="565" w:hRule="exact"/>
          <w:jc w:val="center"/>
        </w:trPr>
        <w:tc>
          <w:tcPr>
            <w:tcW w:w="3495" w:type="dxa"/>
            <w:vMerge w:val="continue"/>
            <w:tcBorders>
              <w:left w:val="single" w:color="auto" w:sz="4" w:space="0"/>
            </w:tcBorders>
            <w:shd w:val="clear" w:color="auto" w:fill="FFFFFF"/>
            <w:vAlign w:val="center"/>
          </w:tcPr>
          <w:p>
            <w:pPr>
              <w:rPr>
                <w:sz w:val="28"/>
                <w:szCs w:val="28"/>
              </w:rPr>
            </w:pPr>
          </w:p>
        </w:tc>
        <w:tc>
          <w:tcPr>
            <w:tcW w:w="18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lang w:val="zh-TW" w:eastAsia="zh-TW" w:bidi="zh-TW"/>
              </w:rPr>
              <w:t>工程招标</w:t>
            </w: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lang w:val="zh-TW" w:eastAsia="zh-TW" w:bidi="zh-TW"/>
              </w:rPr>
              <w:t>货物招标</w:t>
            </w:r>
          </w:p>
        </w:tc>
        <w:tc>
          <w:tcPr>
            <w:tcW w:w="162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lang w:val="zh-TW" w:eastAsia="zh-TW" w:bidi="zh-TW"/>
              </w:rPr>
              <w:t>服务招标</w:t>
            </w:r>
          </w:p>
        </w:tc>
      </w:tr>
      <w:tr>
        <w:tblPrEx>
          <w:tblCellMar>
            <w:top w:w="0" w:type="dxa"/>
            <w:left w:w="10" w:type="dxa"/>
            <w:bottom w:w="0" w:type="dxa"/>
            <w:right w:w="10" w:type="dxa"/>
          </w:tblCellMar>
        </w:tblPrEx>
        <w:trPr>
          <w:trHeight w:val="551" w:hRule="exact"/>
          <w:jc w:val="center"/>
        </w:trPr>
        <w:tc>
          <w:tcPr>
            <w:tcW w:w="349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100</w:t>
            </w:r>
            <w:r>
              <w:rPr>
                <w:rFonts w:ascii="宋体" w:hAnsi="宋体" w:eastAsia="宋体" w:cs="宋体"/>
                <w:color w:val="000000"/>
                <w:spacing w:val="0"/>
                <w:w w:val="100"/>
                <w:position w:val="0"/>
                <w:sz w:val="28"/>
                <w:szCs w:val="28"/>
                <w:lang w:val="zh-TW" w:eastAsia="zh-TW" w:bidi="zh-TW"/>
              </w:rPr>
              <w:t>以下</w:t>
            </w:r>
          </w:p>
        </w:tc>
        <w:tc>
          <w:tcPr>
            <w:tcW w:w="18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6.300</w:t>
            </w: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9.450</w:t>
            </w:r>
          </w:p>
        </w:tc>
        <w:tc>
          <w:tcPr>
            <w:tcW w:w="162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auto"/>
                <w:spacing w:val="0"/>
                <w:w w:val="100"/>
                <w:position w:val="0"/>
                <w:sz w:val="28"/>
                <w:szCs w:val="28"/>
                <w:lang w:val="en-US" w:eastAsia="en-US" w:bidi="en-US"/>
              </w:rPr>
              <w:t>9.450</w:t>
            </w:r>
          </w:p>
        </w:tc>
      </w:tr>
      <w:tr>
        <w:tblPrEx>
          <w:tblCellMar>
            <w:top w:w="0" w:type="dxa"/>
            <w:left w:w="10" w:type="dxa"/>
            <w:bottom w:w="0" w:type="dxa"/>
            <w:right w:w="10" w:type="dxa"/>
          </w:tblCellMar>
        </w:tblPrEx>
        <w:trPr>
          <w:trHeight w:val="565" w:hRule="exact"/>
          <w:jc w:val="center"/>
        </w:trPr>
        <w:tc>
          <w:tcPr>
            <w:tcW w:w="349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100</w:t>
            </w: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lang w:val="zh-TW" w:eastAsia="zh-TW" w:bidi="zh-TW"/>
              </w:rPr>
              <w:t>500</w:t>
            </w:r>
          </w:p>
        </w:tc>
        <w:tc>
          <w:tcPr>
            <w:tcW w:w="18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4.410</w:t>
            </w: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6.930</w:t>
            </w:r>
          </w:p>
        </w:tc>
        <w:tc>
          <w:tcPr>
            <w:tcW w:w="162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5.040</w:t>
            </w:r>
          </w:p>
        </w:tc>
      </w:tr>
      <w:tr>
        <w:tblPrEx>
          <w:tblCellMar>
            <w:top w:w="0" w:type="dxa"/>
            <w:left w:w="10" w:type="dxa"/>
            <w:bottom w:w="0" w:type="dxa"/>
            <w:right w:w="10" w:type="dxa"/>
          </w:tblCellMar>
        </w:tblPrEx>
        <w:trPr>
          <w:trHeight w:val="565" w:hRule="exact"/>
          <w:jc w:val="center"/>
        </w:trPr>
        <w:tc>
          <w:tcPr>
            <w:tcW w:w="349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 xml:space="preserve">500- </w:t>
            </w:r>
            <w:r>
              <w:rPr>
                <w:rFonts w:ascii="Times New Roman" w:hAnsi="Times New Roman" w:eastAsia="Times New Roman" w:cs="Times New Roman"/>
                <w:color w:val="000000"/>
                <w:spacing w:val="0"/>
                <w:w w:val="100"/>
                <w:position w:val="0"/>
                <w:sz w:val="28"/>
                <w:szCs w:val="28"/>
                <w:lang w:val="zh-TW" w:eastAsia="zh-TW" w:bidi="zh-TW"/>
              </w:rPr>
              <w:t>1000</w:t>
            </w:r>
          </w:p>
        </w:tc>
        <w:tc>
          <w:tcPr>
            <w:tcW w:w="188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3.465</w:t>
            </w:r>
          </w:p>
        </w:tc>
        <w:tc>
          <w:tcPr>
            <w:tcW w:w="172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5.040</w:t>
            </w:r>
          </w:p>
        </w:tc>
        <w:tc>
          <w:tcPr>
            <w:tcW w:w="162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2.835</w:t>
            </w:r>
          </w:p>
        </w:tc>
      </w:tr>
      <w:tr>
        <w:tblPrEx>
          <w:tblCellMar>
            <w:top w:w="0" w:type="dxa"/>
            <w:left w:w="10" w:type="dxa"/>
            <w:bottom w:w="0" w:type="dxa"/>
            <w:right w:w="10" w:type="dxa"/>
          </w:tblCellMar>
        </w:tblPrEx>
        <w:trPr>
          <w:trHeight w:val="565" w:hRule="exact"/>
          <w:jc w:val="center"/>
        </w:trPr>
        <w:tc>
          <w:tcPr>
            <w:tcW w:w="349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1000-5000</w:t>
            </w:r>
          </w:p>
        </w:tc>
        <w:tc>
          <w:tcPr>
            <w:tcW w:w="188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2.205</w:t>
            </w:r>
          </w:p>
        </w:tc>
        <w:tc>
          <w:tcPr>
            <w:tcW w:w="172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3.150</w:t>
            </w:r>
          </w:p>
        </w:tc>
        <w:tc>
          <w:tcPr>
            <w:tcW w:w="162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1.575</w:t>
            </w:r>
          </w:p>
        </w:tc>
      </w:tr>
      <w:tr>
        <w:tblPrEx>
          <w:tblCellMar>
            <w:top w:w="0" w:type="dxa"/>
            <w:left w:w="10" w:type="dxa"/>
            <w:bottom w:w="0" w:type="dxa"/>
            <w:right w:w="10" w:type="dxa"/>
          </w:tblCellMar>
        </w:tblPrEx>
        <w:trPr>
          <w:trHeight w:val="565" w:hRule="exact"/>
          <w:jc w:val="center"/>
        </w:trPr>
        <w:tc>
          <w:tcPr>
            <w:tcW w:w="349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5000-10000</w:t>
            </w:r>
          </w:p>
        </w:tc>
        <w:tc>
          <w:tcPr>
            <w:tcW w:w="188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1.260</w:t>
            </w:r>
          </w:p>
        </w:tc>
        <w:tc>
          <w:tcPr>
            <w:tcW w:w="172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1.575</w:t>
            </w:r>
          </w:p>
        </w:tc>
        <w:tc>
          <w:tcPr>
            <w:tcW w:w="162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0.630</w:t>
            </w:r>
          </w:p>
        </w:tc>
      </w:tr>
      <w:tr>
        <w:tblPrEx>
          <w:tblCellMar>
            <w:top w:w="0" w:type="dxa"/>
            <w:left w:w="10" w:type="dxa"/>
            <w:bottom w:w="0" w:type="dxa"/>
            <w:right w:w="10" w:type="dxa"/>
          </w:tblCellMar>
        </w:tblPrEx>
        <w:trPr>
          <w:trHeight w:val="565" w:hRule="exact"/>
          <w:jc w:val="center"/>
        </w:trPr>
        <w:tc>
          <w:tcPr>
            <w:tcW w:w="349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1 0000 - 50000</w:t>
            </w:r>
          </w:p>
        </w:tc>
        <w:tc>
          <w:tcPr>
            <w:tcW w:w="188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0.315</w:t>
            </w:r>
          </w:p>
        </w:tc>
        <w:tc>
          <w:tcPr>
            <w:tcW w:w="172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0.315</w:t>
            </w:r>
          </w:p>
        </w:tc>
        <w:tc>
          <w:tcPr>
            <w:tcW w:w="162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0.315</w:t>
            </w:r>
          </w:p>
        </w:tc>
      </w:tr>
      <w:tr>
        <w:tblPrEx>
          <w:tblCellMar>
            <w:top w:w="0" w:type="dxa"/>
            <w:left w:w="10" w:type="dxa"/>
            <w:bottom w:w="0" w:type="dxa"/>
            <w:right w:w="10" w:type="dxa"/>
          </w:tblCellMar>
        </w:tblPrEx>
        <w:trPr>
          <w:trHeight w:val="551" w:hRule="exact"/>
          <w:jc w:val="center"/>
        </w:trPr>
        <w:tc>
          <w:tcPr>
            <w:tcW w:w="349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tabs>
                <w:tab w:val="left" w:pos="1172"/>
              </w:tabs>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50000</w:t>
            </w:r>
            <w:r>
              <w:rPr>
                <w:rFonts w:ascii="Times New Roman" w:hAnsi="Times New Roman" w:eastAsia="Times New Roman" w:cs="Times New Roman"/>
                <w:color w:val="000000"/>
                <w:spacing w:val="0"/>
                <w:w w:val="100"/>
                <w:position w:val="0"/>
                <w:sz w:val="28"/>
                <w:szCs w:val="28"/>
                <w:lang w:val="en-US" w:eastAsia="en-US" w:bidi="en-US"/>
              </w:rPr>
              <w:t>-</w:t>
            </w:r>
            <w:r>
              <w:rPr>
                <w:rFonts w:hint="eastAsia" w:eastAsia="宋体" w:cs="Times New Roman"/>
                <w:color w:val="000000"/>
                <w:spacing w:val="0"/>
                <w:w w:val="100"/>
                <w:position w:val="0"/>
                <w:sz w:val="28"/>
                <w:szCs w:val="28"/>
                <w:lang w:val="en-US" w:eastAsia="zh-CN" w:bidi="en-US"/>
              </w:rPr>
              <w:t>1</w:t>
            </w:r>
            <w:r>
              <w:rPr>
                <w:rFonts w:ascii="Times New Roman" w:hAnsi="Times New Roman" w:eastAsia="Times New Roman" w:cs="Times New Roman"/>
                <w:color w:val="000000"/>
                <w:spacing w:val="0"/>
                <w:w w:val="100"/>
                <w:position w:val="0"/>
                <w:sz w:val="28"/>
                <w:szCs w:val="28"/>
                <w:lang w:val="zh-TW" w:eastAsia="zh-TW" w:bidi="zh-TW"/>
              </w:rPr>
              <w:t>00000</w:t>
            </w:r>
          </w:p>
        </w:tc>
        <w:tc>
          <w:tcPr>
            <w:tcW w:w="188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0.221</w:t>
            </w:r>
          </w:p>
        </w:tc>
        <w:tc>
          <w:tcPr>
            <w:tcW w:w="172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0.221</w:t>
            </w:r>
          </w:p>
        </w:tc>
        <w:tc>
          <w:tcPr>
            <w:tcW w:w="162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0.221</w:t>
            </w:r>
          </w:p>
        </w:tc>
      </w:tr>
      <w:tr>
        <w:tblPrEx>
          <w:tblCellMar>
            <w:top w:w="0" w:type="dxa"/>
            <w:left w:w="10" w:type="dxa"/>
            <w:bottom w:w="0" w:type="dxa"/>
            <w:right w:w="10" w:type="dxa"/>
          </w:tblCellMar>
        </w:tblPrEx>
        <w:trPr>
          <w:trHeight w:val="565" w:hRule="exact"/>
          <w:jc w:val="center"/>
        </w:trPr>
        <w:tc>
          <w:tcPr>
            <w:tcW w:w="349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tabs>
                <w:tab w:val="left" w:pos="1172"/>
              </w:tabs>
              <w:bidi w:val="0"/>
              <w:spacing w:before="0" w:after="0" w:line="240" w:lineRule="auto"/>
              <w:ind w:left="0" w:right="0" w:firstLine="0"/>
              <w:jc w:val="left"/>
              <w:rPr>
                <w:rFonts w:ascii="Times New Roman" w:hAnsi="Times New Roman" w:eastAsia="Times New Roman" w:cs="Times New Roman"/>
                <w:color w:val="000000"/>
                <w:spacing w:val="0"/>
                <w:w w:val="100"/>
                <w:position w:val="0"/>
                <w:sz w:val="28"/>
                <w:szCs w:val="28"/>
                <w:lang w:val="zh-TW" w:eastAsia="zh-TW" w:bidi="zh-TW"/>
              </w:rPr>
            </w:pPr>
            <w:r>
              <w:rPr>
                <w:rFonts w:ascii="Times New Roman" w:hAnsi="Times New Roman" w:eastAsia="Times New Roman" w:cs="Times New Roman"/>
                <w:color w:val="000000"/>
                <w:spacing w:val="0"/>
                <w:w w:val="100"/>
                <w:position w:val="0"/>
                <w:sz w:val="28"/>
                <w:szCs w:val="28"/>
                <w:lang w:val="zh-TW" w:eastAsia="zh-TW" w:bidi="zh-TW"/>
              </w:rPr>
              <w:t xml:space="preserve">100000 </w:t>
            </w:r>
            <w:r>
              <w:rPr>
                <w:rFonts w:ascii="Times New Roman" w:hAnsi="Times New Roman" w:eastAsia="Times New Roman" w:cs="Times New Roman"/>
                <w:color w:val="000000"/>
                <w:spacing w:val="0"/>
                <w:w w:val="100"/>
                <w:position w:val="0"/>
                <w:sz w:val="28"/>
                <w:szCs w:val="28"/>
                <w:lang w:val="en-US" w:eastAsia="en-US" w:bidi="zh-TW"/>
              </w:rPr>
              <w:t>-</w:t>
            </w:r>
            <w:r>
              <w:rPr>
                <w:rFonts w:ascii="Times New Roman" w:hAnsi="Times New Roman" w:eastAsia="Times New Roman" w:cs="Times New Roman"/>
                <w:color w:val="000000"/>
                <w:spacing w:val="0"/>
                <w:w w:val="100"/>
                <w:position w:val="0"/>
                <w:sz w:val="28"/>
                <w:szCs w:val="28"/>
                <w:lang w:val="zh-TW" w:eastAsia="zh-TW" w:bidi="zh-TW"/>
              </w:rPr>
              <w:t>500000</w:t>
            </w:r>
          </w:p>
        </w:tc>
        <w:tc>
          <w:tcPr>
            <w:tcW w:w="188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tabs>
                <w:tab w:val="left" w:pos="1172"/>
              </w:tabs>
              <w:bidi w:val="0"/>
              <w:spacing w:before="0" w:after="0" w:line="240" w:lineRule="auto"/>
              <w:ind w:left="0" w:right="0" w:firstLine="0"/>
              <w:jc w:val="left"/>
              <w:rPr>
                <w:rFonts w:ascii="Times New Roman" w:hAnsi="Times New Roman" w:eastAsia="Times New Roman" w:cs="Times New Roman"/>
                <w:color w:val="000000"/>
                <w:spacing w:val="0"/>
                <w:w w:val="100"/>
                <w:position w:val="0"/>
                <w:sz w:val="28"/>
                <w:szCs w:val="28"/>
                <w:lang w:val="zh-TW" w:eastAsia="zh-TW" w:bidi="zh-TW"/>
              </w:rPr>
            </w:pPr>
            <w:r>
              <w:rPr>
                <w:rFonts w:ascii="Times New Roman" w:hAnsi="Times New Roman" w:eastAsia="Times New Roman" w:cs="Times New Roman"/>
                <w:color w:val="000000"/>
                <w:spacing w:val="0"/>
                <w:w w:val="100"/>
                <w:position w:val="0"/>
                <w:sz w:val="28"/>
                <w:szCs w:val="28"/>
                <w:lang w:val="en-US" w:eastAsia="en-US" w:bidi="zh-TW"/>
              </w:rPr>
              <w:t>0.050</w:t>
            </w:r>
          </w:p>
        </w:tc>
        <w:tc>
          <w:tcPr>
            <w:tcW w:w="172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0.050</w:t>
            </w:r>
          </w:p>
        </w:tc>
        <w:tc>
          <w:tcPr>
            <w:tcW w:w="162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0.050</w:t>
            </w:r>
          </w:p>
        </w:tc>
      </w:tr>
      <w:tr>
        <w:tblPrEx>
          <w:tblCellMar>
            <w:top w:w="0" w:type="dxa"/>
            <w:left w:w="10" w:type="dxa"/>
            <w:bottom w:w="0" w:type="dxa"/>
            <w:right w:w="10" w:type="dxa"/>
          </w:tblCellMar>
        </w:tblPrEx>
        <w:trPr>
          <w:trHeight w:val="565" w:hRule="exact"/>
          <w:jc w:val="center"/>
        </w:trPr>
        <w:tc>
          <w:tcPr>
            <w:tcW w:w="349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500000</w:t>
            </w: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lang w:val="zh-TW" w:eastAsia="zh-TW" w:bidi="zh-TW"/>
              </w:rPr>
              <w:t>1000000</w:t>
            </w:r>
          </w:p>
        </w:tc>
        <w:tc>
          <w:tcPr>
            <w:tcW w:w="188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0.038</w:t>
            </w:r>
          </w:p>
        </w:tc>
        <w:tc>
          <w:tcPr>
            <w:tcW w:w="172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0.038</w:t>
            </w:r>
          </w:p>
        </w:tc>
        <w:tc>
          <w:tcPr>
            <w:tcW w:w="162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0.038</w:t>
            </w:r>
          </w:p>
        </w:tc>
      </w:tr>
      <w:tr>
        <w:tblPrEx>
          <w:tblCellMar>
            <w:top w:w="0" w:type="dxa"/>
            <w:left w:w="10" w:type="dxa"/>
            <w:bottom w:w="0" w:type="dxa"/>
            <w:right w:w="10" w:type="dxa"/>
          </w:tblCellMar>
        </w:tblPrEx>
        <w:trPr>
          <w:trHeight w:val="579" w:hRule="exact"/>
          <w:jc w:val="center"/>
        </w:trPr>
        <w:tc>
          <w:tcPr>
            <w:tcW w:w="349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zh-TW" w:eastAsia="zh-TW" w:bidi="zh-TW"/>
              </w:rPr>
              <w:t>1000000</w:t>
            </w:r>
            <w:r>
              <w:rPr>
                <w:rFonts w:ascii="宋体" w:hAnsi="宋体" w:eastAsia="宋体" w:cs="宋体"/>
                <w:color w:val="000000"/>
                <w:spacing w:val="0"/>
                <w:w w:val="100"/>
                <w:position w:val="0"/>
                <w:sz w:val="28"/>
                <w:szCs w:val="28"/>
                <w:lang w:val="zh-TW" w:eastAsia="zh-TW" w:bidi="zh-TW"/>
              </w:rPr>
              <w:t>以上</w:t>
            </w:r>
          </w:p>
        </w:tc>
        <w:tc>
          <w:tcPr>
            <w:tcW w:w="1887"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0.025</w:t>
            </w:r>
          </w:p>
        </w:tc>
        <w:tc>
          <w:tcPr>
            <w:tcW w:w="172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8"/>
                <w:szCs w:val="28"/>
              </w:rPr>
            </w:pPr>
            <w:r>
              <w:rPr>
                <w:rFonts w:ascii="Times New Roman" w:hAnsi="Times New Roman" w:eastAsia="Times New Roman" w:cs="Times New Roman"/>
                <w:color w:val="000000"/>
                <w:spacing w:val="0"/>
                <w:w w:val="100"/>
                <w:position w:val="0"/>
                <w:sz w:val="28"/>
                <w:szCs w:val="28"/>
                <w:lang w:val="en-US" w:eastAsia="en-US" w:bidi="en-US"/>
              </w:rPr>
              <w:t>0.025</w:t>
            </w:r>
          </w:p>
        </w:tc>
        <w:tc>
          <w:tcPr>
            <w:tcW w:w="16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0.025</w:t>
            </w:r>
          </w:p>
        </w:tc>
      </w:tr>
    </w:tbl>
    <w:p>
      <w:pPr>
        <w:pStyle w:val="11"/>
        <w:keepNext w:val="0"/>
        <w:keepLines w:val="0"/>
        <w:widowControl w:val="0"/>
        <w:shd w:val="clear" w:color="auto" w:fill="auto"/>
        <w:bidi w:val="0"/>
        <w:spacing w:before="0" w:after="240" w:line="240" w:lineRule="auto"/>
        <w:ind w:left="0" w:right="0" w:firstLine="560" w:firstLineChars="200"/>
        <w:jc w:val="left"/>
        <w:rPr>
          <w:rFonts w:hint="eastAsia" w:ascii="Times New Roman"/>
          <w:color w:val="000000"/>
          <w:sz w:val="28"/>
          <w:szCs w:val="28"/>
          <w:lang w:eastAsia="zh-CN"/>
        </w:rPr>
      </w:pPr>
      <w:r>
        <w:rPr>
          <w:color w:val="000000"/>
          <w:spacing w:val="0"/>
          <w:w w:val="100"/>
          <w:position w:val="0"/>
          <w:sz w:val="28"/>
          <w:szCs w:val="28"/>
        </w:rPr>
        <w:t>注：计费标准分别按建筑安装工程费用、货物（设备及工器具购置等）费用及</w:t>
      </w:r>
      <w:r>
        <w:rPr>
          <w:rFonts w:hint="eastAsia"/>
          <w:color w:val="000000"/>
          <w:spacing w:val="0"/>
          <w:w w:val="100"/>
          <w:position w:val="0"/>
          <w:sz w:val="28"/>
          <w:szCs w:val="28"/>
          <w:lang w:eastAsia="zh-CN"/>
        </w:rPr>
        <w:t>服务。</w:t>
      </w:r>
      <w:r>
        <w:rPr>
          <w:color w:val="000000"/>
          <w:spacing w:val="0"/>
          <w:w w:val="100"/>
          <w:position w:val="0"/>
          <w:sz w:val="28"/>
          <w:szCs w:val="28"/>
        </w:rPr>
        <w:t>（勘察、</w:t>
      </w:r>
      <w:r>
        <w:rPr>
          <w:rFonts w:hint="eastAsia"/>
          <w:color w:val="000000"/>
          <w:spacing w:val="0"/>
          <w:w w:val="100"/>
          <w:position w:val="0"/>
          <w:sz w:val="28"/>
          <w:szCs w:val="28"/>
          <w:lang w:eastAsia="zh-CN"/>
        </w:rPr>
        <w:t>设计</w:t>
      </w:r>
      <w:r>
        <w:rPr>
          <w:color w:val="000000"/>
          <w:spacing w:val="0"/>
          <w:w w:val="100"/>
          <w:position w:val="0"/>
          <w:sz w:val="28"/>
          <w:szCs w:val="28"/>
        </w:rPr>
        <w:t>、咨询、</w:t>
      </w:r>
      <w:r>
        <w:rPr>
          <w:rFonts w:hint="eastAsia"/>
          <w:color w:val="000000"/>
          <w:spacing w:val="0"/>
          <w:w w:val="100"/>
          <w:position w:val="0"/>
          <w:sz w:val="28"/>
          <w:szCs w:val="28"/>
          <w:lang w:eastAsia="zh-CN"/>
        </w:rPr>
        <w:t>监理</w:t>
      </w:r>
      <w:r>
        <w:rPr>
          <w:color w:val="000000"/>
          <w:spacing w:val="0"/>
          <w:w w:val="100"/>
          <w:position w:val="0"/>
          <w:sz w:val="28"/>
          <w:szCs w:val="28"/>
        </w:rPr>
        <w:t>等）费用，</w:t>
      </w:r>
      <w:r>
        <w:rPr>
          <w:rFonts w:hint="eastAsia"/>
          <w:color w:val="000000"/>
          <w:spacing w:val="0"/>
          <w:w w:val="100"/>
          <w:position w:val="0"/>
          <w:sz w:val="28"/>
          <w:szCs w:val="28"/>
          <w:lang w:eastAsia="zh-CN"/>
        </w:rPr>
        <w:t>以差额定</w:t>
      </w:r>
      <w:r>
        <w:rPr>
          <w:color w:val="000000"/>
          <w:spacing w:val="0"/>
          <w:w w:val="100"/>
          <w:position w:val="0"/>
          <w:sz w:val="28"/>
          <w:szCs w:val="28"/>
        </w:rPr>
        <w:t>率分档</w:t>
      </w:r>
      <w:r>
        <w:rPr>
          <w:rFonts w:hint="eastAsia"/>
          <w:color w:val="000000"/>
          <w:spacing w:val="0"/>
          <w:w w:val="100"/>
          <w:position w:val="0"/>
          <w:sz w:val="28"/>
          <w:szCs w:val="28"/>
          <w:lang w:eastAsia="zh-CN"/>
        </w:rPr>
        <w:t>累进方</w:t>
      </w:r>
      <w:r>
        <w:rPr>
          <w:color w:val="000000"/>
          <w:spacing w:val="0"/>
          <w:w w:val="100"/>
          <w:position w:val="0"/>
          <w:sz w:val="28"/>
          <w:szCs w:val="28"/>
        </w:rPr>
        <w:t>法计算。</w:t>
      </w:r>
    </w:p>
    <w:p>
      <w:pPr>
        <w:pStyle w:val="10"/>
        <w:keepNext w:val="0"/>
        <w:keepLines w:val="0"/>
        <w:widowControl w:val="0"/>
        <w:shd w:val="clear" w:color="auto" w:fill="auto"/>
        <w:bidi w:val="0"/>
        <w:spacing w:before="0" w:after="0" w:line="240" w:lineRule="auto"/>
        <w:ind w:left="0" w:right="0" w:firstLine="602" w:firstLineChars="200"/>
        <w:jc w:val="left"/>
        <w:rPr>
          <w:rFonts w:hint="eastAsia" w:ascii="Times New Roman"/>
          <w:b/>
          <w:bCs/>
          <w:color w:val="000000"/>
          <w:sz w:val="30"/>
          <w:szCs w:val="30"/>
          <w:lang w:eastAsia="zh-CN"/>
        </w:rPr>
      </w:pPr>
      <w:r>
        <w:rPr>
          <w:rFonts w:hint="eastAsia" w:ascii="Times New Roman"/>
          <w:b/>
          <w:bCs/>
          <w:color w:val="000000"/>
          <w:sz w:val="30"/>
          <w:szCs w:val="30"/>
          <w:lang w:eastAsia="zh-CN"/>
        </w:rPr>
        <w:t>六、工程监理</w:t>
      </w:r>
    </w:p>
    <w:p>
      <w:pPr>
        <w:numPr>
          <w:ilvl w:val="0"/>
          <w:numId w:val="0"/>
        </w:numPr>
        <w:spacing w:line="360" w:lineRule="auto"/>
        <w:ind w:firstLine="562" w:firstLineChars="200"/>
        <w:rPr>
          <w:rFonts w:hint="eastAsia" w:ascii="Times New Roman"/>
          <w:b/>
          <w:bCs/>
          <w:color w:val="000000"/>
          <w:sz w:val="28"/>
          <w:szCs w:val="28"/>
          <w:lang w:eastAsia="zh-CN"/>
        </w:rPr>
      </w:pPr>
      <w:r>
        <w:rPr>
          <w:rFonts w:hint="eastAsia" w:ascii="Times New Roman"/>
          <w:b/>
          <w:bCs/>
          <w:color w:val="000000"/>
          <w:sz w:val="28"/>
          <w:szCs w:val="28"/>
          <w:lang w:val="en-US" w:eastAsia="zh-CN"/>
        </w:rPr>
        <w:t>（一）</w:t>
      </w:r>
      <w:r>
        <w:rPr>
          <w:rFonts w:hint="eastAsia" w:ascii="Times New Roman"/>
          <w:b/>
          <w:bCs/>
          <w:color w:val="000000"/>
          <w:sz w:val="28"/>
          <w:szCs w:val="28"/>
          <w:lang w:eastAsia="zh-CN"/>
        </w:rPr>
        <w:t>工程监理</w:t>
      </w:r>
    </w:p>
    <w:p>
      <w:pPr>
        <w:numPr>
          <w:ilvl w:val="0"/>
          <w:numId w:val="0"/>
        </w:numPr>
        <w:spacing w:line="360" w:lineRule="auto"/>
        <w:ind w:firstLine="562" w:firstLineChars="200"/>
        <w:rPr>
          <w:rFonts w:hint="eastAsia" w:ascii="Times New Roman" w:cs="Times New Roman"/>
          <w:color w:val="000000"/>
          <w:sz w:val="28"/>
          <w:szCs w:val="28"/>
          <w:lang w:eastAsia="zh-CN"/>
        </w:rPr>
      </w:pPr>
      <w:r>
        <w:rPr>
          <w:rFonts w:hint="eastAsia" w:ascii="Times New Roman" w:cs="Times New Roman"/>
          <w:b/>
          <w:bCs/>
          <w:color w:val="000000"/>
          <w:sz w:val="28"/>
          <w:szCs w:val="28"/>
          <w:lang w:val="en-US" w:eastAsia="zh-CN"/>
        </w:rPr>
        <w:t>1、</w:t>
      </w:r>
      <w:r>
        <w:rPr>
          <w:rFonts w:hint="eastAsia" w:ascii="Times New Roman" w:cs="Times New Roman"/>
          <w:b/>
          <w:bCs/>
          <w:color w:val="000000"/>
          <w:sz w:val="28"/>
          <w:szCs w:val="28"/>
          <w:lang w:eastAsia="zh-CN"/>
        </w:rPr>
        <w:t>主要工作内容：</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①</w:t>
      </w:r>
      <w:r>
        <w:rPr>
          <w:rFonts w:hint="eastAsia" w:ascii="宋体" w:hAnsi="宋体" w:eastAsia="宋体" w:cs="宋体"/>
          <w:color w:val="000000"/>
          <w:spacing w:val="0"/>
          <w:w w:val="100"/>
          <w:kern w:val="2"/>
          <w:position w:val="0"/>
          <w:sz w:val="28"/>
          <w:szCs w:val="28"/>
          <w:u w:val="none"/>
          <w:shd w:val="clear" w:color="auto" w:fill="auto"/>
          <w:lang w:val="zh-TW" w:eastAsia="zh-TW" w:bidi="zh-TW"/>
        </w:rPr>
        <w:t>工程咨询方应根据全过程工程咨询合同及建设工程监理规范要求，在施工现场派驻项目监理机构，并应明确监理人员岗位职责。</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②</w:t>
      </w:r>
      <w:r>
        <w:rPr>
          <w:rFonts w:hint="eastAsia" w:ascii="宋体" w:hAnsi="宋体" w:eastAsia="宋体" w:cs="宋体"/>
          <w:color w:val="000000"/>
          <w:spacing w:val="0"/>
          <w:w w:val="100"/>
          <w:kern w:val="2"/>
          <w:position w:val="0"/>
          <w:sz w:val="28"/>
          <w:szCs w:val="28"/>
          <w:u w:val="none"/>
          <w:shd w:val="clear" w:color="auto" w:fill="auto"/>
          <w:lang w:val="zh-TW" w:eastAsia="zh-TW" w:bidi="zh-TW"/>
        </w:rPr>
        <w:t>项目监理机构应编制监理规划及监理实施细则，并应按监理规划及监理实施细则要求履行监理职责。</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③</w:t>
      </w:r>
      <w:r>
        <w:rPr>
          <w:rFonts w:hint="eastAsia" w:ascii="宋体" w:hAnsi="宋体" w:eastAsia="宋体" w:cs="宋体"/>
          <w:color w:val="000000"/>
          <w:spacing w:val="0"/>
          <w:w w:val="100"/>
          <w:kern w:val="2"/>
          <w:position w:val="0"/>
          <w:sz w:val="28"/>
          <w:szCs w:val="28"/>
          <w:u w:val="none"/>
          <w:shd w:val="clear" w:color="auto" w:fill="auto"/>
          <w:lang w:val="zh-TW" w:eastAsia="zh-TW" w:bidi="zh-TW"/>
        </w:rPr>
        <w:t>项目监理机构应审查</w:t>
      </w:r>
      <w:r>
        <w:rPr>
          <w:rFonts w:ascii="宋体" w:hAnsi="宋体" w:eastAsia="宋体" w:cs="宋体"/>
          <w:color w:val="000000"/>
          <w:spacing w:val="0"/>
          <w:w w:val="100"/>
          <w:kern w:val="2"/>
          <w:position w:val="0"/>
          <w:sz w:val="28"/>
          <w:szCs w:val="28"/>
          <w:u w:val="none"/>
          <w:shd w:val="clear" w:color="auto" w:fill="auto"/>
          <w:lang w:val="zh-TW" w:eastAsia="zh-TW" w:bidi="zh-TW"/>
        </w:rPr>
        <w:t>施工</w:t>
      </w:r>
      <w:r>
        <w:rPr>
          <w:rFonts w:hint="eastAsia" w:ascii="宋体" w:hAnsi="宋体" w:eastAsia="宋体" w:cs="宋体"/>
          <w:color w:val="000000"/>
          <w:spacing w:val="0"/>
          <w:w w:val="100"/>
          <w:kern w:val="2"/>
          <w:position w:val="0"/>
          <w:sz w:val="28"/>
          <w:szCs w:val="28"/>
          <w:u w:val="none"/>
          <w:shd w:val="clear" w:color="auto" w:fill="auto"/>
          <w:lang w:val="zh-TW" w:eastAsia="zh-TW" w:bidi="zh-TW"/>
        </w:rPr>
        <w:t>单位在施工现场的</w:t>
      </w:r>
      <w:r>
        <w:rPr>
          <w:rFonts w:ascii="宋体" w:hAnsi="宋体" w:eastAsia="宋体" w:cs="宋体"/>
          <w:color w:val="000000"/>
          <w:spacing w:val="0"/>
          <w:w w:val="100"/>
          <w:kern w:val="2"/>
          <w:position w:val="0"/>
          <w:sz w:val="28"/>
          <w:szCs w:val="28"/>
          <w:u w:val="none"/>
          <w:shd w:val="clear" w:color="auto" w:fill="auto"/>
          <w:lang w:val="zh-TW" w:eastAsia="zh-TW" w:bidi="zh-TW"/>
        </w:rPr>
        <w:t>工程质量、安全生产管理制度及组织</w:t>
      </w:r>
      <w:r>
        <w:rPr>
          <w:rFonts w:hint="eastAsia" w:ascii="宋体" w:hAnsi="宋体" w:eastAsia="宋体" w:cs="宋体"/>
          <w:color w:val="000000"/>
          <w:spacing w:val="0"/>
          <w:w w:val="100"/>
          <w:kern w:val="2"/>
          <w:position w:val="0"/>
          <w:sz w:val="28"/>
          <w:szCs w:val="28"/>
          <w:u w:val="none"/>
          <w:shd w:val="clear" w:color="auto" w:fill="auto"/>
          <w:lang w:val="zh-TW" w:eastAsia="zh-TW" w:bidi="zh-TW"/>
        </w:rPr>
        <w:t>管理</w:t>
      </w:r>
      <w:r>
        <w:rPr>
          <w:rFonts w:ascii="宋体" w:hAnsi="宋体" w:eastAsia="宋体" w:cs="宋体"/>
          <w:color w:val="000000"/>
          <w:spacing w:val="0"/>
          <w:w w:val="100"/>
          <w:kern w:val="2"/>
          <w:position w:val="0"/>
          <w:sz w:val="28"/>
          <w:szCs w:val="28"/>
          <w:u w:val="none"/>
          <w:shd w:val="clear" w:color="auto" w:fill="auto"/>
          <w:lang w:val="zh-TW" w:eastAsia="zh-TW" w:bidi="zh-TW"/>
        </w:rPr>
        <w:t>机构</w:t>
      </w:r>
      <w:r>
        <w:rPr>
          <w:rFonts w:hint="eastAsia" w:ascii="宋体" w:hAnsi="宋体" w:eastAsia="宋体" w:cs="宋体"/>
          <w:color w:val="000000"/>
          <w:spacing w:val="0"/>
          <w:w w:val="100"/>
          <w:kern w:val="2"/>
          <w:position w:val="0"/>
          <w:sz w:val="28"/>
          <w:szCs w:val="28"/>
          <w:u w:val="none"/>
          <w:shd w:val="clear" w:color="auto" w:fill="auto"/>
          <w:lang w:val="zh-TW" w:eastAsia="zh-TW" w:bidi="zh-TW"/>
        </w:rPr>
        <w:t>，并应</w:t>
      </w:r>
      <w:r>
        <w:rPr>
          <w:rFonts w:ascii="宋体" w:hAnsi="宋体" w:eastAsia="宋体" w:cs="宋体"/>
          <w:color w:val="000000"/>
          <w:spacing w:val="0"/>
          <w:w w:val="100"/>
          <w:kern w:val="2"/>
          <w:position w:val="0"/>
          <w:sz w:val="28"/>
          <w:szCs w:val="28"/>
          <w:u w:val="none"/>
          <w:shd w:val="clear" w:color="auto" w:fill="auto"/>
          <w:lang w:val="zh-TW" w:eastAsia="zh-TW" w:bidi="zh-TW"/>
        </w:rPr>
        <w:t>检查施工</w:t>
      </w:r>
      <w:r>
        <w:rPr>
          <w:rFonts w:hint="eastAsia" w:ascii="宋体" w:hAnsi="宋体" w:eastAsia="宋体" w:cs="宋体"/>
          <w:color w:val="000000"/>
          <w:spacing w:val="0"/>
          <w:w w:val="100"/>
          <w:kern w:val="2"/>
          <w:position w:val="0"/>
          <w:sz w:val="28"/>
          <w:szCs w:val="28"/>
          <w:u w:val="none"/>
          <w:shd w:val="clear" w:color="auto" w:fill="auto"/>
          <w:lang w:val="zh-TW" w:eastAsia="zh-TW" w:bidi="zh-TW"/>
        </w:rPr>
        <w:t>单位主要管理人员和</w:t>
      </w:r>
      <w:r>
        <w:rPr>
          <w:rFonts w:ascii="宋体" w:hAnsi="宋体" w:eastAsia="宋体" w:cs="宋体"/>
          <w:color w:val="000000"/>
          <w:spacing w:val="0"/>
          <w:w w:val="100"/>
          <w:kern w:val="2"/>
          <w:position w:val="0"/>
          <w:sz w:val="28"/>
          <w:szCs w:val="28"/>
          <w:u w:val="none"/>
          <w:shd w:val="clear" w:color="auto" w:fill="auto"/>
          <w:lang w:val="zh-TW" w:eastAsia="zh-TW" w:bidi="zh-TW"/>
        </w:rPr>
        <w:t>专职安全生产管理人员的配备情况</w:t>
      </w:r>
      <w:r>
        <w:rPr>
          <w:rFonts w:hint="eastAsia" w:ascii="宋体" w:hAnsi="宋体" w:eastAsia="宋体" w:cs="宋体"/>
          <w:color w:val="000000"/>
          <w:spacing w:val="0"/>
          <w:w w:val="100"/>
          <w:kern w:val="2"/>
          <w:position w:val="0"/>
          <w:sz w:val="28"/>
          <w:szCs w:val="28"/>
          <w:u w:val="none"/>
          <w:shd w:val="clear" w:color="auto" w:fill="auto"/>
          <w:lang w:val="zh-TW" w:eastAsia="zh-TW" w:bidi="zh-TW"/>
        </w:rPr>
        <w:t>。</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④</w:t>
      </w:r>
      <w:r>
        <w:rPr>
          <w:rFonts w:hint="eastAsia" w:ascii="宋体" w:hAnsi="宋体" w:eastAsia="宋体" w:cs="宋体"/>
          <w:color w:val="000000"/>
          <w:spacing w:val="0"/>
          <w:w w:val="100"/>
          <w:kern w:val="2"/>
          <w:position w:val="0"/>
          <w:sz w:val="28"/>
          <w:szCs w:val="28"/>
          <w:u w:val="none"/>
          <w:shd w:val="clear" w:color="auto" w:fill="auto"/>
          <w:lang w:val="zh-TW" w:eastAsia="zh-TW" w:bidi="zh-TW"/>
        </w:rPr>
        <w:t>项目监理机构应审查施工单位的试验室及分包单位资质条件，并应在相应报审文件中签署审查意见。</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⑤</w:t>
      </w:r>
      <w:r>
        <w:rPr>
          <w:rFonts w:hint="eastAsia" w:ascii="宋体" w:hAnsi="宋体" w:eastAsia="宋体" w:cs="宋体"/>
          <w:color w:val="000000"/>
          <w:spacing w:val="0"/>
          <w:w w:val="100"/>
          <w:kern w:val="2"/>
          <w:position w:val="0"/>
          <w:sz w:val="28"/>
          <w:szCs w:val="28"/>
          <w:u w:val="none"/>
          <w:shd w:val="clear" w:color="auto" w:fill="auto"/>
          <w:lang w:val="zh-TW" w:eastAsia="zh-TW" w:bidi="zh-TW"/>
        </w:rPr>
        <w:t>项目监理机构应审查施工管理人员和特种作业人员资格，并应核查主要施工机械的准用验收文件。</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⑥</w:t>
      </w:r>
      <w:r>
        <w:rPr>
          <w:rFonts w:hint="eastAsia" w:ascii="宋体" w:hAnsi="宋体" w:eastAsia="宋体" w:cs="宋体"/>
          <w:color w:val="000000"/>
          <w:spacing w:val="0"/>
          <w:w w:val="100"/>
          <w:kern w:val="2"/>
          <w:position w:val="0"/>
          <w:sz w:val="28"/>
          <w:szCs w:val="28"/>
          <w:u w:val="none"/>
          <w:shd w:val="clear" w:color="auto" w:fill="auto"/>
          <w:lang w:val="zh-TW" w:eastAsia="zh-TW" w:bidi="zh-TW"/>
        </w:rPr>
        <w:t>项目监理机构应审查</w:t>
      </w:r>
      <w:r>
        <w:rPr>
          <w:rFonts w:ascii="宋体" w:hAnsi="宋体" w:eastAsia="宋体" w:cs="宋体"/>
          <w:color w:val="000000"/>
          <w:spacing w:val="0"/>
          <w:w w:val="100"/>
          <w:kern w:val="2"/>
          <w:position w:val="0"/>
          <w:sz w:val="28"/>
          <w:szCs w:val="28"/>
          <w:u w:val="none"/>
          <w:shd w:val="clear" w:color="auto" w:fill="auto"/>
          <w:lang w:val="zh-TW" w:eastAsia="zh-TW" w:bidi="zh-TW"/>
        </w:rPr>
        <w:t>施工</w:t>
      </w:r>
      <w:r>
        <w:rPr>
          <w:rFonts w:hint="eastAsia" w:ascii="宋体" w:hAnsi="宋体" w:eastAsia="宋体" w:cs="宋体"/>
          <w:color w:val="000000"/>
          <w:spacing w:val="0"/>
          <w:w w:val="100"/>
          <w:kern w:val="2"/>
          <w:position w:val="0"/>
          <w:sz w:val="28"/>
          <w:szCs w:val="28"/>
          <w:u w:val="none"/>
          <w:shd w:val="clear" w:color="auto" w:fill="auto"/>
          <w:lang w:val="zh-TW" w:eastAsia="zh-TW" w:bidi="zh-TW"/>
        </w:rPr>
        <w:t>单位</w:t>
      </w:r>
      <w:r>
        <w:rPr>
          <w:rFonts w:ascii="宋体" w:hAnsi="宋体" w:eastAsia="宋体" w:cs="宋体"/>
          <w:color w:val="000000"/>
          <w:spacing w:val="0"/>
          <w:w w:val="100"/>
          <w:kern w:val="2"/>
          <w:position w:val="0"/>
          <w:sz w:val="28"/>
          <w:szCs w:val="28"/>
          <w:u w:val="none"/>
          <w:shd w:val="clear" w:color="auto" w:fill="auto"/>
          <w:lang w:val="zh-TW" w:eastAsia="zh-TW" w:bidi="zh-TW"/>
        </w:rPr>
        <w:t>提交的施工组织设计</w:t>
      </w:r>
      <w:r>
        <w:rPr>
          <w:rFonts w:hint="eastAsia" w:ascii="宋体" w:hAnsi="宋体" w:eastAsia="宋体" w:cs="宋体"/>
          <w:color w:val="000000"/>
          <w:spacing w:val="0"/>
          <w:w w:val="100"/>
          <w:kern w:val="2"/>
          <w:position w:val="0"/>
          <w:sz w:val="28"/>
          <w:szCs w:val="28"/>
          <w:u w:val="none"/>
          <w:shd w:val="clear" w:color="auto" w:fill="auto"/>
          <w:lang w:val="zh-TW" w:eastAsia="zh-TW" w:bidi="zh-TW"/>
        </w:rPr>
        <w:t>、施工方案及专项施工方案，并应监督施工单位执行施工图设计文件和工程建设标准，按照批准的</w:t>
      </w:r>
      <w:r>
        <w:rPr>
          <w:rFonts w:ascii="宋体" w:hAnsi="宋体" w:eastAsia="宋体" w:cs="宋体"/>
          <w:color w:val="000000"/>
          <w:spacing w:val="0"/>
          <w:w w:val="100"/>
          <w:kern w:val="2"/>
          <w:position w:val="0"/>
          <w:sz w:val="28"/>
          <w:szCs w:val="28"/>
          <w:u w:val="none"/>
          <w:shd w:val="clear" w:color="auto" w:fill="auto"/>
          <w:lang w:val="zh-TW" w:eastAsia="zh-TW" w:bidi="zh-TW"/>
        </w:rPr>
        <w:t>施工组织设计</w:t>
      </w:r>
      <w:r>
        <w:rPr>
          <w:rFonts w:hint="eastAsia" w:ascii="宋体" w:hAnsi="宋体" w:eastAsia="宋体" w:cs="宋体"/>
          <w:color w:val="000000"/>
          <w:spacing w:val="0"/>
          <w:w w:val="100"/>
          <w:kern w:val="2"/>
          <w:position w:val="0"/>
          <w:sz w:val="28"/>
          <w:szCs w:val="28"/>
          <w:u w:val="none"/>
          <w:shd w:val="clear" w:color="auto" w:fill="auto"/>
          <w:lang w:val="zh-TW" w:eastAsia="zh-TW" w:bidi="zh-TW"/>
        </w:rPr>
        <w:t>、施工方案及专项施工方案组织施工。</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⑦</w:t>
      </w:r>
      <w:r>
        <w:rPr>
          <w:rFonts w:hint="eastAsia" w:ascii="宋体" w:hAnsi="宋体" w:eastAsia="宋体" w:cs="宋体"/>
          <w:color w:val="000000"/>
          <w:spacing w:val="0"/>
          <w:w w:val="100"/>
          <w:kern w:val="2"/>
          <w:position w:val="0"/>
          <w:sz w:val="28"/>
          <w:szCs w:val="28"/>
          <w:u w:val="none"/>
          <w:shd w:val="clear" w:color="auto" w:fill="auto"/>
          <w:lang w:val="zh-TW" w:eastAsia="zh-TW" w:bidi="zh-TW"/>
        </w:rPr>
        <w:t>项目监理机构应</w:t>
      </w:r>
      <w:r>
        <w:rPr>
          <w:rFonts w:ascii="宋体" w:hAnsi="宋体" w:eastAsia="宋体" w:cs="宋体"/>
          <w:color w:val="000000"/>
          <w:spacing w:val="0"/>
          <w:w w:val="100"/>
          <w:kern w:val="2"/>
          <w:position w:val="0"/>
          <w:sz w:val="28"/>
          <w:szCs w:val="28"/>
          <w:u w:val="none"/>
          <w:shd w:val="clear" w:color="auto" w:fill="auto"/>
          <w:lang w:val="zh-TW" w:eastAsia="zh-TW" w:bidi="zh-TW"/>
        </w:rPr>
        <w:t>审查施工</w:t>
      </w:r>
      <w:r>
        <w:rPr>
          <w:rFonts w:hint="eastAsia" w:ascii="宋体" w:hAnsi="宋体" w:eastAsia="宋体" w:cs="宋体"/>
          <w:color w:val="000000"/>
          <w:spacing w:val="0"/>
          <w:w w:val="100"/>
          <w:kern w:val="2"/>
          <w:position w:val="0"/>
          <w:sz w:val="28"/>
          <w:szCs w:val="28"/>
          <w:u w:val="none"/>
          <w:shd w:val="clear" w:color="auto" w:fill="auto"/>
          <w:lang w:val="zh-TW" w:eastAsia="zh-TW" w:bidi="zh-TW"/>
        </w:rPr>
        <w:t>单位</w:t>
      </w:r>
      <w:r>
        <w:rPr>
          <w:rFonts w:ascii="宋体" w:hAnsi="宋体" w:eastAsia="宋体" w:cs="宋体"/>
          <w:color w:val="000000"/>
          <w:spacing w:val="0"/>
          <w:w w:val="100"/>
          <w:kern w:val="2"/>
          <w:position w:val="0"/>
          <w:sz w:val="28"/>
          <w:szCs w:val="28"/>
          <w:u w:val="none"/>
          <w:shd w:val="clear" w:color="auto" w:fill="auto"/>
          <w:lang w:val="zh-TW" w:eastAsia="zh-TW" w:bidi="zh-TW"/>
        </w:rPr>
        <w:t>报送的工程材料、构配件、设备质量证明文件，并按规定对用于工程的材料</w:t>
      </w:r>
      <w:r>
        <w:rPr>
          <w:rFonts w:hint="eastAsia" w:ascii="宋体" w:hAnsi="宋体" w:eastAsia="宋体" w:cs="宋体"/>
          <w:color w:val="000000"/>
          <w:spacing w:val="0"/>
          <w:w w:val="100"/>
          <w:kern w:val="2"/>
          <w:position w:val="0"/>
          <w:sz w:val="28"/>
          <w:szCs w:val="28"/>
          <w:u w:val="none"/>
          <w:shd w:val="clear" w:color="auto" w:fill="auto"/>
          <w:lang w:val="zh-TW" w:eastAsia="zh-TW" w:bidi="zh-TW"/>
        </w:rPr>
        <w:t>、构配件进行</w:t>
      </w:r>
      <w:r>
        <w:rPr>
          <w:rFonts w:ascii="宋体" w:hAnsi="宋体" w:eastAsia="宋体" w:cs="宋体"/>
          <w:color w:val="000000"/>
          <w:spacing w:val="0"/>
          <w:w w:val="100"/>
          <w:kern w:val="2"/>
          <w:position w:val="0"/>
          <w:sz w:val="28"/>
          <w:szCs w:val="28"/>
          <w:u w:val="none"/>
          <w:shd w:val="clear" w:color="auto" w:fill="auto"/>
          <w:lang w:val="zh-TW" w:eastAsia="zh-TW" w:bidi="zh-TW"/>
        </w:rPr>
        <w:t>见证取样</w:t>
      </w:r>
      <w:r>
        <w:rPr>
          <w:rFonts w:hint="eastAsia" w:ascii="宋体" w:hAnsi="宋体" w:eastAsia="宋体" w:cs="宋体"/>
          <w:color w:val="000000"/>
          <w:spacing w:val="0"/>
          <w:w w:val="100"/>
          <w:kern w:val="2"/>
          <w:position w:val="0"/>
          <w:sz w:val="28"/>
          <w:szCs w:val="28"/>
          <w:u w:val="none"/>
          <w:shd w:val="clear" w:color="auto" w:fill="auto"/>
          <w:lang w:val="zh-TW" w:eastAsia="zh-TW" w:bidi="zh-TW"/>
        </w:rPr>
        <w:t>送检。</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⑧</w:t>
      </w:r>
      <w:r>
        <w:rPr>
          <w:rFonts w:hint="eastAsia" w:ascii="宋体" w:hAnsi="宋体" w:eastAsia="宋体" w:cs="宋体"/>
          <w:color w:val="000000"/>
          <w:spacing w:val="0"/>
          <w:w w:val="100"/>
          <w:kern w:val="2"/>
          <w:position w:val="0"/>
          <w:sz w:val="28"/>
          <w:szCs w:val="28"/>
          <w:u w:val="none"/>
          <w:shd w:val="clear" w:color="auto" w:fill="auto"/>
          <w:lang w:val="zh-TW" w:eastAsia="zh-TW" w:bidi="zh-TW"/>
        </w:rPr>
        <w:t>项目监理机构应采取巡视、旁站、平行检验等方式对工程质量实施过程控制，对隐蔽工程、分项工程、分部工程和单位工程进行验收，并应在相应报验文件中签署验收意见。</w:t>
      </w:r>
    </w:p>
    <w:p>
      <w:pPr>
        <w:overflowPunct w:val="0"/>
        <w:spacing w:line="360" w:lineRule="auto"/>
        <w:ind w:firstLine="56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zh-TW" w:eastAsia="zh-CN" w:bidi="zh-TW"/>
        </w:rPr>
        <w:t>⑨</w:t>
      </w:r>
      <w:r>
        <w:rPr>
          <w:rFonts w:hint="eastAsia" w:ascii="宋体" w:hAnsi="宋体" w:eastAsia="宋体" w:cs="宋体"/>
          <w:color w:val="000000"/>
          <w:spacing w:val="0"/>
          <w:w w:val="100"/>
          <w:kern w:val="2"/>
          <w:position w:val="0"/>
          <w:sz w:val="28"/>
          <w:szCs w:val="28"/>
          <w:u w:val="none"/>
          <w:shd w:val="clear" w:color="auto" w:fill="auto"/>
          <w:lang w:val="zh-TW" w:eastAsia="zh-TW" w:bidi="zh-TW"/>
        </w:rPr>
        <w:t>项目监理机构应审查施工单位提交的施工进度计划，并应检查分阶段进度计划执行情况，通过监理例会等形式协调施工进度问题。</w:t>
      </w:r>
    </w:p>
    <w:p>
      <w:pPr>
        <w:overflowPunct w:val="0"/>
        <w:spacing w:line="360" w:lineRule="auto"/>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宋体" w:hAnsi="宋体" w:cs="宋体"/>
          <w:color w:val="000000"/>
          <w:spacing w:val="0"/>
          <w:w w:val="100"/>
          <w:kern w:val="2"/>
          <w:position w:val="0"/>
          <w:sz w:val="28"/>
          <w:szCs w:val="28"/>
          <w:u w:val="none"/>
          <w:shd w:val="clear" w:color="auto" w:fill="auto"/>
          <w:lang w:val="en-US" w:eastAsia="zh-CN" w:bidi="zh-TW"/>
        </w:rPr>
        <w:t xml:space="preserve">   ⑩</w:t>
      </w:r>
      <w:r>
        <w:rPr>
          <w:rFonts w:hint="eastAsia" w:ascii="宋体" w:hAnsi="宋体" w:eastAsia="宋体" w:cs="宋体"/>
          <w:color w:val="000000"/>
          <w:spacing w:val="0"/>
          <w:w w:val="100"/>
          <w:kern w:val="2"/>
          <w:position w:val="0"/>
          <w:sz w:val="28"/>
          <w:szCs w:val="28"/>
          <w:u w:val="none"/>
          <w:shd w:val="clear" w:color="auto" w:fill="auto"/>
          <w:lang w:val="zh-TW" w:eastAsia="zh-TW" w:bidi="zh-TW"/>
        </w:rPr>
        <w:t>项目监理机构应审查施工单位报送的工程进度款支付申请，并应按相关规定审查工程变更和索赔申请，</w:t>
      </w:r>
      <w:r>
        <w:rPr>
          <w:rFonts w:ascii="宋体" w:hAnsi="宋体" w:eastAsia="宋体" w:cs="宋体"/>
          <w:color w:val="000000"/>
          <w:spacing w:val="0"/>
          <w:w w:val="100"/>
          <w:kern w:val="2"/>
          <w:position w:val="0"/>
          <w:sz w:val="28"/>
          <w:szCs w:val="28"/>
          <w:u w:val="none"/>
          <w:shd w:val="clear" w:color="auto" w:fill="auto"/>
          <w:lang w:val="zh-TW" w:eastAsia="zh-TW" w:bidi="zh-TW"/>
        </w:rPr>
        <w:t>协调处理施工进度调整、费用索赔、合同争议等事项</w:t>
      </w:r>
      <w:r>
        <w:rPr>
          <w:rFonts w:hint="eastAsia" w:ascii="宋体" w:hAnsi="宋体" w:eastAsia="宋体" w:cs="宋体"/>
          <w:color w:val="000000"/>
          <w:spacing w:val="0"/>
          <w:w w:val="100"/>
          <w:kern w:val="2"/>
          <w:position w:val="0"/>
          <w:sz w:val="28"/>
          <w:szCs w:val="28"/>
          <w:u w:val="none"/>
          <w:shd w:val="clear" w:color="auto" w:fill="auto"/>
          <w:lang w:val="zh-TW" w:eastAsia="zh-TW" w:bidi="zh-TW"/>
        </w:rPr>
        <w:t>。</w:t>
      </w:r>
    </w:p>
    <w:p>
      <w:pPr>
        <w:overflowPunct w:val="0"/>
        <w:spacing w:line="360" w:lineRule="auto"/>
        <w:ind w:firstLine="42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Times New Roman" w:hAnsi="Calibri" w:eastAsia="宋体" w:cs="Times New Roman"/>
          <w:color w:val="000000"/>
          <w:kern w:val="2"/>
          <w:sz w:val="21"/>
          <w:szCs w:val="21"/>
          <w:lang w:val="en-US" w:eastAsia="zh-CN"/>
        </w:rPr>
        <w:fldChar w:fldCharType="begin"/>
      </w:r>
      <w:r>
        <w:rPr>
          <w:rFonts w:hint="eastAsia" w:ascii="Times New Roman" w:hAnsi="Calibri" w:eastAsia="宋体" w:cs="Times New Roman"/>
          <w:color w:val="000000"/>
          <w:kern w:val="2"/>
          <w:sz w:val="21"/>
          <w:szCs w:val="21"/>
          <w:lang w:val="en-US" w:eastAsia="zh-CN"/>
        </w:rPr>
        <w:instrText xml:space="preserve"> EQ \o\ac(</w:instrText>
      </w:r>
      <w:r>
        <w:rPr>
          <w:rFonts w:hint="eastAsia" w:ascii="Times New Roman" w:hAnsi="Calibri" w:eastAsia="宋体" w:cs="Times New Roman"/>
          <w:color w:val="000000"/>
          <w:kern w:val="2"/>
          <w:position w:val="-4"/>
          <w:sz w:val="31"/>
          <w:szCs w:val="21"/>
          <w:lang w:val="en-US" w:eastAsia="zh-CN"/>
        </w:rPr>
        <w:instrText xml:space="preserve">○</w:instrText>
      </w:r>
      <w:r>
        <w:rPr>
          <w:rFonts w:hint="eastAsia" w:ascii="Times New Roman" w:hAnsi="Calibri" w:eastAsia="宋体" w:cs="Times New Roman"/>
          <w:color w:val="000000"/>
          <w:kern w:val="2"/>
          <w:position w:val="0"/>
          <w:sz w:val="21"/>
          <w:szCs w:val="21"/>
          <w:lang w:val="en-US" w:eastAsia="zh-CN"/>
        </w:rPr>
        <w:instrText xml:space="preserve">,11)</w:instrText>
      </w:r>
      <w:r>
        <w:rPr>
          <w:rFonts w:hint="eastAsia" w:ascii="Times New Roman" w:hAnsi="Calibri" w:eastAsia="宋体" w:cs="Times New Roman"/>
          <w:color w:val="000000"/>
          <w:kern w:val="2"/>
          <w:sz w:val="21"/>
          <w:szCs w:val="21"/>
          <w:lang w:val="en-US" w:eastAsia="zh-CN"/>
        </w:rPr>
        <w:fldChar w:fldCharType="end"/>
      </w:r>
      <w:r>
        <w:rPr>
          <w:rFonts w:hint="eastAsia" w:ascii="宋体" w:hAnsi="宋体" w:eastAsia="宋体" w:cs="宋体"/>
          <w:color w:val="000000"/>
          <w:spacing w:val="0"/>
          <w:w w:val="100"/>
          <w:kern w:val="2"/>
          <w:position w:val="0"/>
          <w:sz w:val="28"/>
          <w:szCs w:val="28"/>
          <w:u w:val="none"/>
          <w:shd w:val="clear" w:color="auto" w:fill="auto"/>
          <w:lang w:val="zh-TW" w:eastAsia="zh-TW" w:bidi="zh-TW"/>
        </w:rPr>
        <w:t>项目监理机构应</w:t>
      </w:r>
      <w:r>
        <w:rPr>
          <w:rFonts w:ascii="宋体" w:hAnsi="宋体" w:eastAsia="宋体" w:cs="宋体"/>
          <w:color w:val="000000"/>
          <w:spacing w:val="0"/>
          <w:w w:val="100"/>
          <w:kern w:val="2"/>
          <w:position w:val="0"/>
          <w:sz w:val="28"/>
          <w:szCs w:val="28"/>
          <w:u w:val="none"/>
          <w:shd w:val="clear" w:color="auto" w:fill="auto"/>
          <w:lang w:val="zh-TW" w:eastAsia="zh-TW" w:bidi="zh-TW"/>
        </w:rPr>
        <w:t>审查施工</w:t>
      </w:r>
      <w:r>
        <w:rPr>
          <w:rFonts w:hint="eastAsia" w:ascii="宋体" w:hAnsi="宋体" w:eastAsia="宋体" w:cs="宋体"/>
          <w:color w:val="000000"/>
          <w:spacing w:val="0"/>
          <w:w w:val="100"/>
          <w:kern w:val="2"/>
          <w:position w:val="0"/>
          <w:sz w:val="28"/>
          <w:szCs w:val="28"/>
          <w:u w:val="none"/>
          <w:shd w:val="clear" w:color="auto" w:fill="auto"/>
          <w:lang w:val="zh-TW" w:eastAsia="zh-TW" w:bidi="zh-TW"/>
        </w:rPr>
        <w:t>单位</w:t>
      </w:r>
      <w:r>
        <w:rPr>
          <w:rFonts w:ascii="宋体" w:hAnsi="宋体" w:eastAsia="宋体" w:cs="宋体"/>
          <w:color w:val="000000"/>
          <w:spacing w:val="0"/>
          <w:w w:val="100"/>
          <w:kern w:val="2"/>
          <w:position w:val="0"/>
          <w:sz w:val="28"/>
          <w:szCs w:val="28"/>
          <w:u w:val="none"/>
          <w:shd w:val="clear" w:color="auto" w:fill="auto"/>
          <w:lang w:val="zh-TW" w:eastAsia="zh-TW" w:bidi="zh-TW"/>
        </w:rPr>
        <w:t>提交的竣工验收</w:t>
      </w:r>
      <w:r>
        <w:rPr>
          <w:rFonts w:hint="eastAsia" w:ascii="宋体" w:hAnsi="宋体" w:eastAsia="宋体" w:cs="宋体"/>
          <w:color w:val="000000"/>
          <w:spacing w:val="0"/>
          <w:w w:val="100"/>
          <w:kern w:val="2"/>
          <w:position w:val="0"/>
          <w:sz w:val="28"/>
          <w:szCs w:val="28"/>
          <w:u w:val="none"/>
          <w:shd w:val="clear" w:color="auto" w:fill="auto"/>
          <w:lang w:val="zh-TW" w:eastAsia="zh-TW" w:bidi="zh-TW"/>
        </w:rPr>
        <w:t>和结算</w:t>
      </w:r>
      <w:r>
        <w:rPr>
          <w:rFonts w:ascii="宋体" w:hAnsi="宋体" w:eastAsia="宋体" w:cs="宋体"/>
          <w:color w:val="000000"/>
          <w:spacing w:val="0"/>
          <w:w w:val="100"/>
          <w:kern w:val="2"/>
          <w:position w:val="0"/>
          <w:sz w:val="28"/>
          <w:szCs w:val="28"/>
          <w:u w:val="none"/>
          <w:shd w:val="clear" w:color="auto" w:fill="auto"/>
          <w:lang w:val="zh-TW" w:eastAsia="zh-TW" w:bidi="zh-TW"/>
        </w:rPr>
        <w:t>申请，编写工程质量评估报告</w:t>
      </w:r>
      <w:r>
        <w:rPr>
          <w:rFonts w:hint="eastAsia" w:ascii="宋体" w:hAnsi="宋体" w:eastAsia="宋体" w:cs="宋体"/>
          <w:color w:val="000000"/>
          <w:spacing w:val="0"/>
          <w:w w:val="100"/>
          <w:kern w:val="2"/>
          <w:position w:val="0"/>
          <w:sz w:val="28"/>
          <w:szCs w:val="28"/>
          <w:u w:val="none"/>
          <w:shd w:val="clear" w:color="auto" w:fill="auto"/>
          <w:lang w:val="zh-TW" w:eastAsia="zh-TW" w:bidi="zh-TW"/>
        </w:rPr>
        <w:t>，并应</w:t>
      </w:r>
      <w:r>
        <w:rPr>
          <w:rFonts w:ascii="宋体" w:hAnsi="宋体" w:eastAsia="宋体" w:cs="宋体"/>
          <w:color w:val="000000"/>
          <w:spacing w:val="0"/>
          <w:w w:val="100"/>
          <w:kern w:val="2"/>
          <w:position w:val="0"/>
          <w:sz w:val="28"/>
          <w:szCs w:val="28"/>
          <w:u w:val="none"/>
          <w:shd w:val="clear" w:color="auto" w:fill="auto"/>
          <w:lang w:val="zh-TW" w:eastAsia="zh-TW" w:bidi="zh-TW"/>
        </w:rPr>
        <w:t>参加工程竣工验收</w:t>
      </w:r>
      <w:r>
        <w:rPr>
          <w:rFonts w:hint="eastAsia" w:ascii="宋体" w:hAnsi="宋体" w:eastAsia="宋体" w:cs="宋体"/>
          <w:color w:val="000000"/>
          <w:spacing w:val="0"/>
          <w:w w:val="100"/>
          <w:kern w:val="2"/>
          <w:position w:val="0"/>
          <w:sz w:val="28"/>
          <w:szCs w:val="28"/>
          <w:u w:val="none"/>
          <w:shd w:val="clear" w:color="auto" w:fill="auto"/>
          <w:lang w:val="zh-TW" w:eastAsia="zh-TW" w:bidi="zh-TW"/>
        </w:rPr>
        <w:t>。</w:t>
      </w:r>
    </w:p>
    <w:p>
      <w:pPr>
        <w:overflowPunct w:val="0"/>
        <w:spacing w:line="360" w:lineRule="auto"/>
        <w:ind w:firstLine="480" w:firstLineChars="200"/>
        <w:rPr>
          <w:rFonts w:ascii="宋体" w:hAnsi="宋体" w:eastAsia="宋体" w:cs="宋体"/>
          <w:color w:val="000000"/>
          <w:spacing w:val="0"/>
          <w:w w:val="100"/>
          <w:kern w:val="2"/>
          <w:position w:val="0"/>
          <w:sz w:val="28"/>
          <w:szCs w:val="28"/>
          <w:u w:val="none"/>
          <w:shd w:val="clear" w:color="auto" w:fill="auto"/>
          <w:lang w:val="zh-TW" w:eastAsia="zh-TW" w:bidi="zh-TW"/>
        </w:rPr>
      </w:pPr>
      <w:r>
        <w:rPr>
          <w:rFonts w:hint="eastAsia" w:ascii="Times New Roman" w:hAnsi="Calibri" w:eastAsia="宋体" w:cs="Times New Roman"/>
          <w:color w:val="000000"/>
          <w:kern w:val="2"/>
          <w:sz w:val="24"/>
          <w:szCs w:val="24"/>
          <w:lang w:val="en-US" w:eastAsia="zh-CN"/>
        </w:rPr>
        <w:fldChar w:fldCharType="begin"/>
      </w:r>
      <w:r>
        <w:rPr>
          <w:rFonts w:hint="eastAsia" w:ascii="Times New Roman" w:hAnsi="Calibri" w:eastAsia="宋体" w:cs="Times New Roman"/>
          <w:color w:val="000000"/>
          <w:kern w:val="2"/>
          <w:sz w:val="24"/>
          <w:szCs w:val="24"/>
          <w:lang w:val="en-US" w:eastAsia="zh-CN"/>
        </w:rPr>
        <w:instrText xml:space="preserve"> EQ \o\ac(</w:instrText>
      </w:r>
      <w:r>
        <w:rPr>
          <w:rFonts w:hint="eastAsia" w:ascii="Times New Roman" w:hAnsi="Calibri" w:eastAsia="宋体" w:cs="Times New Roman"/>
          <w:color w:val="000000"/>
          <w:kern w:val="2"/>
          <w:position w:val="-4"/>
          <w:sz w:val="36"/>
          <w:szCs w:val="24"/>
          <w:lang w:val="en-US" w:eastAsia="zh-CN"/>
        </w:rPr>
        <w:instrText xml:space="preserve">○</w:instrText>
      </w:r>
      <w:r>
        <w:rPr>
          <w:rFonts w:hint="eastAsia" w:ascii="Times New Roman" w:hAnsi="Calibri" w:eastAsia="宋体" w:cs="Times New Roman"/>
          <w:color w:val="000000"/>
          <w:kern w:val="2"/>
          <w:position w:val="0"/>
          <w:sz w:val="24"/>
          <w:szCs w:val="24"/>
          <w:lang w:val="en-US" w:eastAsia="zh-CN"/>
        </w:rPr>
        <w:instrText xml:space="preserve">,12)</w:instrText>
      </w:r>
      <w:r>
        <w:rPr>
          <w:rFonts w:hint="eastAsia" w:ascii="Times New Roman" w:hAnsi="Calibri" w:eastAsia="宋体" w:cs="Times New Roman"/>
          <w:color w:val="000000"/>
          <w:kern w:val="2"/>
          <w:sz w:val="24"/>
          <w:szCs w:val="24"/>
          <w:lang w:val="en-US" w:eastAsia="zh-CN"/>
        </w:rPr>
        <w:fldChar w:fldCharType="end"/>
      </w:r>
      <w:r>
        <w:rPr>
          <w:rFonts w:hint="eastAsia" w:ascii="宋体" w:hAnsi="宋体" w:eastAsia="宋体" w:cs="宋体"/>
          <w:color w:val="000000"/>
          <w:spacing w:val="0"/>
          <w:w w:val="100"/>
          <w:kern w:val="2"/>
          <w:position w:val="0"/>
          <w:sz w:val="28"/>
          <w:szCs w:val="28"/>
          <w:u w:val="none"/>
          <w:shd w:val="clear" w:color="auto" w:fill="auto"/>
          <w:lang w:val="zh-TW" w:eastAsia="zh-TW" w:bidi="zh-TW"/>
        </w:rPr>
        <w:t>项目监理机构宜利用信息化手段管理监理文件资料，并应按照档案管理相关要求进行监理文件资料建档和归档。</w:t>
      </w:r>
    </w:p>
    <w:p>
      <w:pPr>
        <w:pStyle w:val="10"/>
        <w:keepNext w:val="0"/>
        <w:keepLines w:val="0"/>
        <w:widowControl w:val="0"/>
        <w:shd w:val="clear" w:color="auto" w:fill="auto"/>
        <w:bidi w:val="0"/>
        <w:spacing w:before="0" w:after="0" w:line="240" w:lineRule="auto"/>
        <w:ind w:left="0" w:right="0" w:firstLine="562" w:firstLineChars="200"/>
        <w:jc w:val="left"/>
        <w:rPr>
          <w:rFonts w:hint="eastAsia" w:ascii="Times New Roman" w:cs="Times New Roman"/>
          <w:color w:val="000000"/>
          <w:sz w:val="28"/>
          <w:szCs w:val="28"/>
          <w:lang w:val="en-US" w:eastAsia="zh-CN"/>
        </w:rPr>
      </w:pPr>
      <w:r>
        <w:rPr>
          <w:rFonts w:hint="eastAsia" w:ascii="Times New Roman" w:cs="Times New Roman"/>
          <w:b/>
          <w:bCs/>
          <w:color w:val="000000"/>
          <w:sz w:val="28"/>
          <w:szCs w:val="28"/>
          <w:lang w:val="en-US" w:eastAsia="zh-CN"/>
        </w:rPr>
        <w:t>2、收费标准：</w:t>
      </w:r>
      <w:r>
        <w:rPr>
          <w:rFonts w:hint="eastAsia" w:ascii="Times New Roman" w:cs="Times New Roman"/>
          <w:color w:val="000000"/>
          <w:sz w:val="28"/>
          <w:szCs w:val="28"/>
          <w:lang w:val="en-US" w:eastAsia="zh-CN"/>
        </w:rPr>
        <w:t>参考《桂建标〔2018〕37号》的工程监理费。</w:t>
      </w:r>
    </w:p>
    <w:tbl>
      <w:tblPr>
        <w:tblStyle w:val="5"/>
        <w:tblW w:w="8490" w:type="dxa"/>
        <w:jc w:val="center"/>
        <w:tblLayout w:type="fixed"/>
        <w:tblCellMar>
          <w:top w:w="0" w:type="dxa"/>
          <w:left w:w="10" w:type="dxa"/>
          <w:bottom w:w="0" w:type="dxa"/>
          <w:right w:w="10" w:type="dxa"/>
        </w:tblCellMar>
      </w:tblPr>
      <w:tblGrid>
        <w:gridCol w:w="966"/>
        <w:gridCol w:w="3573"/>
        <w:gridCol w:w="3951"/>
      </w:tblGrid>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rPr>
              <w:t>序号</w:t>
            </w:r>
          </w:p>
        </w:tc>
        <w:tc>
          <w:tcPr>
            <w:tcW w:w="357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rPr>
              <w:t>工程</w:t>
            </w:r>
            <w:r>
              <w:rPr>
                <w:rFonts w:hint="eastAsia" w:ascii="宋体" w:hAnsi="宋体" w:eastAsia="宋体" w:cs="宋体"/>
                <w:color w:val="000000"/>
                <w:spacing w:val="0"/>
                <w:w w:val="100"/>
                <w:position w:val="0"/>
                <w:sz w:val="28"/>
                <w:szCs w:val="28"/>
                <w:lang w:eastAsia="zh-CN"/>
              </w:rPr>
              <w:t>费</w:t>
            </w:r>
            <w:r>
              <w:rPr>
                <w:rFonts w:ascii="宋体" w:hAnsi="宋体" w:eastAsia="宋体" w:cs="宋体"/>
                <w:color w:val="000000"/>
                <w:spacing w:val="0"/>
                <w:w w:val="100"/>
                <w:position w:val="0"/>
                <w:sz w:val="28"/>
                <w:szCs w:val="28"/>
              </w:rPr>
              <w:t>用（万元）</w:t>
            </w:r>
          </w:p>
        </w:tc>
        <w:tc>
          <w:tcPr>
            <w:tcW w:w="395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rPr>
              <w:t>收费基价（万元）</w:t>
            </w:r>
          </w:p>
        </w:tc>
      </w:tr>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w:t>
            </w:r>
          </w:p>
        </w:tc>
        <w:tc>
          <w:tcPr>
            <w:tcW w:w="357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500</w:t>
            </w:r>
          </w:p>
        </w:tc>
        <w:tc>
          <w:tcPr>
            <w:tcW w:w="395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13.20</w:t>
            </w:r>
          </w:p>
        </w:tc>
      </w:tr>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2</w:t>
            </w:r>
          </w:p>
        </w:tc>
        <w:tc>
          <w:tcPr>
            <w:tcW w:w="357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1000</w:t>
            </w:r>
          </w:p>
        </w:tc>
        <w:tc>
          <w:tcPr>
            <w:tcW w:w="395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24.08</w:t>
            </w:r>
          </w:p>
        </w:tc>
      </w:tr>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3</w:t>
            </w:r>
          </w:p>
        </w:tc>
        <w:tc>
          <w:tcPr>
            <w:tcW w:w="357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3000</w:t>
            </w:r>
          </w:p>
        </w:tc>
        <w:tc>
          <w:tcPr>
            <w:tcW w:w="395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62.48</w:t>
            </w:r>
          </w:p>
        </w:tc>
      </w:tr>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4</w:t>
            </w:r>
          </w:p>
        </w:tc>
        <w:tc>
          <w:tcPr>
            <w:tcW w:w="357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5000</w:t>
            </w:r>
          </w:p>
        </w:tc>
        <w:tc>
          <w:tcPr>
            <w:tcW w:w="395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96.64</w:t>
            </w:r>
          </w:p>
        </w:tc>
      </w:tr>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5</w:t>
            </w:r>
          </w:p>
        </w:tc>
        <w:tc>
          <w:tcPr>
            <w:tcW w:w="357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8000</w:t>
            </w:r>
          </w:p>
        </w:tc>
        <w:tc>
          <w:tcPr>
            <w:tcW w:w="395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144.80</w:t>
            </w:r>
          </w:p>
        </w:tc>
      </w:tr>
      <w:tr>
        <w:tblPrEx>
          <w:tblCellMar>
            <w:top w:w="0" w:type="dxa"/>
            <w:left w:w="10" w:type="dxa"/>
            <w:bottom w:w="0" w:type="dxa"/>
            <w:right w:w="10" w:type="dxa"/>
          </w:tblCellMar>
        </w:tblPrEx>
        <w:trPr>
          <w:trHeight w:val="540"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6</w:t>
            </w:r>
          </w:p>
        </w:tc>
        <w:tc>
          <w:tcPr>
            <w:tcW w:w="357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10000</w:t>
            </w:r>
          </w:p>
        </w:tc>
        <w:tc>
          <w:tcPr>
            <w:tcW w:w="395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174.88</w:t>
            </w:r>
          </w:p>
        </w:tc>
      </w:tr>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7</w:t>
            </w:r>
          </w:p>
        </w:tc>
        <w:tc>
          <w:tcPr>
            <w:tcW w:w="357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20000</w:t>
            </w:r>
          </w:p>
        </w:tc>
        <w:tc>
          <w:tcPr>
            <w:tcW w:w="395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314.72</w:t>
            </w:r>
          </w:p>
        </w:tc>
      </w:tr>
      <w:tr>
        <w:tblPrEx>
          <w:tblCellMar>
            <w:top w:w="0" w:type="dxa"/>
            <w:left w:w="10" w:type="dxa"/>
            <w:bottom w:w="0" w:type="dxa"/>
            <w:right w:w="10" w:type="dxa"/>
          </w:tblCellMar>
        </w:tblPrEx>
        <w:trPr>
          <w:trHeight w:val="510"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8</w:t>
            </w:r>
          </w:p>
        </w:tc>
        <w:tc>
          <w:tcPr>
            <w:tcW w:w="357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40000</w:t>
            </w:r>
          </w:p>
        </w:tc>
        <w:tc>
          <w:tcPr>
            <w:tcW w:w="395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566.56</w:t>
            </w:r>
          </w:p>
        </w:tc>
      </w:tr>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9</w:t>
            </w:r>
          </w:p>
        </w:tc>
        <w:tc>
          <w:tcPr>
            <w:tcW w:w="357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60000</w:t>
            </w:r>
          </w:p>
        </w:tc>
        <w:tc>
          <w:tcPr>
            <w:tcW w:w="395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793.12</w:t>
            </w:r>
          </w:p>
        </w:tc>
      </w:tr>
      <w:tr>
        <w:tblPrEx>
          <w:tblCellMar>
            <w:top w:w="0" w:type="dxa"/>
            <w:left w:w="10" w:type="dxa"/>
            <w:bottom w:w="0" w:type="dxa"/>
            <w:right w:w="10" w:type="dxa"/>
          </w:tblCellMar>
        </w:tblPrEx>
        <w:trPr>
          <w:trHeight w:val="540"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10</w:t>
            </w:r>
          </w:p>
        </w:tc>
        <w:tc>
          <w:tcPr>
            <w:tcW w:w="357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80000</w:t>
            </w:r>
          </w:p>
        </w:tc>
        <w:tc>
          <w:tcPr>
            <w:tcW w:w="39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1004.64</w:t>
            </w:r>
          </w:p>
        </w:tc>
      </w:tr>
      <w:tr>
        <w:tblPrEx>
          <w:tblCellMar>
            <w:top w:w="0" w:type="dxa"/>
            <w:left w:w="10" w:type="dxa"/>
            <w:bottom w:w="0" w:type="dxa"/>
            <w:right w:w="10" w:type="dxa"/>
          </w:tblCellMar>
        </w:tblPrEx>
        <w:trPr>
          <w:trHeight w:val="510"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11</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100000</w:t>
            </w:r>
          </w:p>
        </w:tc>
        <w:tc>
          <w:tcPr>
            <w:tcW w:w="39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1205.60</w:t>
            </w:r>
          </w:p>
        </w:tc>
      </w:tr>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u w:val="none"/>
              </w:rPr>
            </w:pPr>
            <w:r>
              <w:rPr>
                <w:rFonts w:ascii="Times New Roman" w:hAnsi="Times New Roman" w:eastAsia="Times New Roman" w:cs="Times New Roman"/>
                <w:color w:val="000000"/>
                <w:spacing w:val="0"/>
                <w:w w:val="100"/>
                <w:position w:val="0"/>
                <w:sz w:val="28"/>
                <w:szCs w:val="28"/>
                <w:u w:val="none"/>
              </w:rPr>
              <w:t>12</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tabs>
                <w:tab w:val="left" w:pos="3585"/>
              </w:tabs>
              <w:bidi w:val="0"/>
              <w:spacing w:before="0" w:after="0" w:line="240" w:lineRule="auto"/>
              <w:ind w:left="0" w:right="0" w:firstLine="0"/>
              <w:jc w:val="left"/>
              <w:rPr>
                <w:sz w:val="28"/>
                <w:szCs w:val="28"/>
                <w:u w:val="none"/>
              </w:rPr>
            </w:pPr>
            <w:r>
              <w:rPr>
                <w:rFonts w:ascii="Times New Roman" w:hAnsi="Times New Roman" w:eastAsia="Times New Roman" w:cs="Times New Roman"/>
                <w:color w:val="000000"/>
                <w:spacing w:val="0"/>
                <w:w w:val="100"/>
                <w:position w:val="0"/>
                <w:sz w:val="28"/>
                <w:szCs w:val="28"/>
                <w:u w:val="none"/>
              </w:rPr>
              <w:t>200000</w:t>
            </w:r>
            <w:r>
              <w:rPr>
                <w:rFonts w:ascii="Times New Roman" w:hAnsi="Times New Roman" w:eastAsia="Times New Roman" w:cs="Times New Roman"/>
                <w:color w:val="000000"/>
                <w:spacing w:val="0"/>
                <w:w w:val="100"/>
                <w:position w:val="0"/>
                <w:sz w:val="28"/>
                <w:szCs w:val="28"/>
                <w:u w:val="none"/>
              </w:rPr>
              <w:tab/>
            </w:r>
          </w:p>
        </w:tc>
        <w:tc>
          <w:tcPr>
            <w:tcW w:w="39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tabs>
                <w:tab w:val="left" w:pos="3585"/>
              </w:tabs>
              <w:bidi w:val="0"/>
              <w:spacing w:before="0" w:after="0" w:line="240" w:lineRule="auto"/>
              <w:ind w:left="0" w:right="0" w:firstLine="0"/>
              <w:jc w:val="left"/>
              <w:rPr>
                <w:rFonts w:ascii="Times New Roman" w:hAnsi="Times New Roman" w:eastAsia="Times New Roman" w:cs="Times New Roman"/>
                <w:color w:val="000000"/>
                <w:spacing w:val="0"/>
                <w:w w:val="100"/>
                <w:position w:val="0"/>
                <w:sz w:val="28"/>
                <w:szCs w:val="28"/>
              </w:rPr>
            </w:pPr>
            <w:r>
              <w:rPr>
                <w:rFonts w:ascii="Times New Roman" w:hAnsi="Times New Roman" w:eastAsia="Times New Roman" w:cs="Times New Roman"/>
                <w:color w:val="000000"/>
                <w:spacing w:val="0"/>
                <w:w w:val="100"/>
                <w:position w:val="0"/>
                <w:sz w:val="28"/>
                <w:szCs w:val="28"/>
                <w:lang w:val="en-US" w:eastAsia="en-US" w:bidi="en-US"/>
              </w:rPr>
              <w:t>2170.00</w:t>
            </w:r>
          </w:p>
        </w:tc>
      </w:tr>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13</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400000</w:t>
            </w:r>
          </w:p>
        </w:tc>
        <w:tc>
          <w:tcPr>
            <w:tcW w:w="39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3906.08</w:t>
            </w:r>
          </w:p>
        </w:tc>
      </w:tr>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14</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600000</w:t>
            </w:r>
          </w:p>
        </w:tc>
        <w:tc>
          <w:tcPr>
            <w:tcW w:w="39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5468.48</w:t>
            </w:r>
          </w:p>
        </w:tc>
      </w:tr>
      <w:tr>
        <w:tblPrEx>
          <w:tblCellMar>
            <w:top w:w="0" w:type="dxa"/>
            <w:left w:w="10" w:type="dxa"/>
            <w:bottom w:w="0" w:type="dxa"/>
            <w:right w:w="10" w:type="dxa"/>
          </w:tblCellMar>
        </w:tblPrEx>
        <w:trPr>
          <w:trHeight w:val="525" w:hRule="exact"/>
          <w:jc w:val="center"/>
        </w:trPr>
        <w:tc>
          <w:tcPr>
            <w:tcW w:w="9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15</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800000</w:t>
            </w:r>
          </w:p>
        </w:tc>
        <w:tc>
          <w:tcPr>
            <w:tcW w:w="39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6926.72</w:t>
            </w:r>
          </w:p>
        </w:tc>
      </w:tr>
      <w:tr>
        <w:tblPrEx>
          <w:tblCellMar>
            <w:top w:w="0" w:type="dxa"/>
            <w:left w:w="10" w:type="dxa"/>
            <w:bottom w:w="0" w:type="dxa"/>
            <w:right w:w="10" w:type="dxa"/>
          </w:tblCellMar>
        </w:tblPrEx>
        <w:trPr>
          <w:trHeight w:val="540" w:hRule="exact"/>
          <w:jc w:val="center"/>
        </w:trPr>
        <w:tc>
          <w:tcPr>
            <w:tcW w:w="96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16</w:t>
            </w:r>
          </w:p>
        </w:tc>
        <w:tc>
          <w:tcPr>
            <w:tcW w:w="35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1000000</w:t>
            </w:r>
          </w:p>
        </w:tc>
        <w:tc>
          <w:tcPr>
            <w:tcW w:w="39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8312.08</w:t>
            </w:r>
          </w:p>
        </w:tc>
      </w:tr>
    </w:tbl>
    <w:p>
      <w:pPr>
        <w:widowControl w:val="0"/>
        <w:spacing w:after="119" w:line="1" w:lineRule="exact"/>
        <w:rPr>
          <w:sz w:val="28"/>
          <w:szCs w:val="28"/>
        </w:rPr>
      </w:pPr>
    </w:p>
    <w:p>
      <w:pPr>
        <w:pStyle w:val="11"/>
        <w:keepNext w:val="0"/>
        <w:keepLines w:val="0"/>
        <w:widowControl w:val="0"/>
        <w:shd w:val="clear" w:color="auto" w:fill="auto"/>
        <w:bidi w:val="0"/>
        <w:spacing w:before="0" w:after="0" w:line="510" w:lineRule="exact"/>
        <w:ind w:left="0" w:right="0" w:firstLine="560" w:firstLineChars="200"/>
        <w:jc w:val="left"/>
        <w:rPr>
          <w:color w:val="000000"/>
          <w:spacing w:val="0"/>
          <w:w w:val="100"/>
          <w:position w:val="0"/>
          <w:sz w:val="28"/>
          <w:szCs w:val="28"/>
        </w:rPr>
      </w:pPr>
      <w:r>
        <w:rPr>
          <w:color w:val="000000"/>
          <w:spacing w:val="0"/>
          <w:w w:val="100"/>
          <w:position w:val="0"/>
          <w:sz w:val="28"/>
          <w:szCs w:val="28"/>
        </w:rPr>
        <w:t>注：工程监理按照工程</w:t>
      </w:r>
      <w:r>
        <w:rPr>
          <w:rFonts w:hint="eastAsia"/>
          <w:color w:val="000000"/>
          <w:spacing w:val="0"/>
          <w:w w:val="100"/>
          <w:position w:val="0"/>
          <w:sz w:val="28"/>
          <w:szCs w:val="28"/>
          <w:lang w:eastAsia="zh-CN"/>
        </w:rPr>
        <w:t>费用</w:t>
      </w:r>
      <w:r>
        <w:rPr>
          <w:color w:val="000000"/>
          <w:spacing w:val="0"/>
          <w:w w:val="100"/>
          <w:position w:val="0"/>
          <w:sz w:val="28"/>
          <w:szCs w:val="28"/>
        </w:rPr>
        <w:t>分档计算，工程</w:t>
      </w:r>
      <w:r>
        <w:rPr>
          <w:rFonts w:hint="eastAsia"/>
          <w:color w:val="000000"/>
          <w:spacing w:val="0"/>
          <w:w w:val="100"/>
          <w:position w:val="0"/>
          <w:sz w:val="28"/>
          <w:szCs w:val="28"/>
          <w:lang w:eastAsia="zh-CN"/>
        </w:rPr>
        <w:t>费用</w:t>
      </w:r>
      <w:r>
        <w:rPr>
          <w:color w:val="000000"/>
          <w:spacing w:val="0"/>
          <w:w w:val="100"/>
          <w:position w:val="0"/>
          <w:sz w:val="28"/>
          <w:szCs w:val="28"/>
        </w:rPr>
        <w:t>处于两个数值区间的，采用直线</w:t>
      </w:r>
      <w:r>
        <w:rPr>
          <w:rFonts w:hint="eastAsia"/>
          <w:color w:val="000000"/>
          <w:spacing w:val="0"/>
          <w:w w:val="100"/>
          <w:position w:val="0"/>
          <w:sz w:val="28"/>
          <w:szCs w:val="28"/>
          <w:lang w:eastAsia="zh-CN"/>
        </w:rPr>
        <w:t>内插法</w:t>
      </w:r>
      <w:r>
        <w:rPr>
          <w:color w:val="000000"/>
          <w:spacing w:val="0"/>
          <w:w w:val="100"/>
          <w:position w:val="0"/>
          <w:sz w:val="28"/>
          <w:szCs w:val="28"/>
        </w:rPr>
        <w:t>计算。</w:t>
      </w:r>
    </w:p>
    <w:p>
      <w:pPr>
        <w:numPr>
          <w:ilvl w:val="0"/>
          <w:numId w:val="0"/>
        </w:numPr>
        <w:spacing w:line="360" w:lineRule="auto"/>
        <w:ind w:firstLine="602" w:firstLineChars="200"/>
        <w:rPr>
          <w:rFonts w:hint="eastAsia" w:ascii="Times New Roman"/>
          <w:b/>
          <w:bCs/>
          <w:color w:val="000000"/>
          <w:sz w:val="30"/>
          <w:szCs w:val="30"/>
          <w:lang w:eastAsia="zh-CN"/>
        </w:rPr>
      </w:pPr>
      <w:r>
        <w:rPr>
          <w:rFonts w:hint="eastAsia" w:ascii="Times New Roman"/>
          <w:b/>
          <w:bCs/>
          <w:color w:val="000000"/>
          <w:sz w:val="30"/>
          <w:szCs w:val="30"/>
          <w:lang w:eastAsia="zh-CN"/>
        </w:rPr>
        <w:t>七、专项咨询</w:t>
      </w:r>
    </w:p>
    <w:p>
      <w:pPr>
        <w:numPr>
          <w:ilvl w:val="0"/>
          <w:numId w:val="0"/>
        </w:numPr>
        <w:spacing w:line="360" w:lineRule="auto"/>
        <w:ind w:firstLine="562" w:firstLineChars="200"/>
        <w:rPr>
          <w:rFonts w:hint="eastAsia" w:ascii="Times New Roman"/>
          <w:b/>
          <w:bCs/>
          <w:color w:val="000000"/>
          <w:sz w:val="28"/>
          <w:szCs w:val="28"/>
          <w:lang w:eastAsia="zh-CN"/>
        </w:rPr>
      </w:pPr>
      <w:r>
        <w:rPr>
          <w:rFonts w:hint="eastAsia" w:ascii="Times New Roman"/>
          <w:b/>
          <w:bCs/>
          <w:color w:val="000000"/>
          <w:sz w:val="28"/>
          <w:szCs w:val="28"/>
          <w:lang w:val="en-US" w:eastAsia="zh-CN"/>
        </w:rPr>
        <w:t>（一）</w:t>
      </w:r>
      <w:r>
        <w:rPr>
          <w:rFonts w:hint="eastAsia" w:ascii="Times New Roman"/>
          <w:b/>
          <w:bCs/>
          <w:color w:val="000000"/>
          <w:sz w:val="28"/>
          <w:szCs w:val="28"/>
          <w:lang w:eastAsia="zh-CN"/>
        </w:rPr>
        <w:t>工程造价咨询</w:t>
      </w:r>
    </w:p>
    <w:p>
      <w:pPr>
        <w:numPr>
          <w:ilvl w:val="0"/>
          <w:numId w:val="0"/>
        </w:numPr>
        <w:spacing w:line="360" w:lineRule="auto"/>
        <w:ind w:firstLine="562" w:firstLineChars="200"/>
        <w:rPr>
          <w:rFonts w:hint="eastAsia" w:ascii="Times New Roman" w:cs="Times New Roman"/>
          <w:color w:val="000000"/>
          <w:sz w:val="28"/>
          <w:szCs w:val="28"/>
          <w:lang w:eastAsia="zh-CN"/>
        </w:rPr>
      </w:pPr>
      <w:r>
        <w:rPr>
          <w:rFonts w:hint="eastAsia" w:ascii="Times New Roman" w:cs="Times New Roman"/>
          <w:b/>
          <w:bCs/>
          <w:color w:val="000000"/>
          <w:sz w:val="28"/>
          <w:szCs w:val="28"/>
          <w:lang w:val="en-US" w:eastAsia="zh-CN"/>
        </w:rPr>
        <w:t>1、</w:t>
      </w:r>
      <w:r>
        <w:rPr>
          <w:rFonts w:hint="eastAsia" w:ascii="Times New Roman" w:cs="Times New Roman"/>
          <w:b/>
          <w:bCs/>
          <w:color w:val="000000"/>
          <w:sz w:val="28"/>
          <w:szCs w:val="28"/>
          <w:lang w:eastAsia="zh-CN"/>
        </w:rPr>
        <w:t>主要工作内容：</w:t>
      </w:r>
      <w:r>
        <w:rPr>
          <w:rFonts w:hint="eastAsia" w:ascii="Times New Roman" w:cs="Times New Roman"/>
          <w:color w:val="000000"/>
          <w:sz w:val="28"/>
          <w:szCs w:val="28"/>
          <w:lang w:eastAsia="zh-CN"/>
        </w:rPr>
        <w:t>工程咨询方可根据工程咨询合同约定，为委托方提供覆盖项目投资决策和建设实施全过程或其中若干阶段的造价咨询服务：</w:t>
      </w:r>
    </w:p>
    <w:p>
      <w:pPr>
        <w:numPr>
          <w:ilvl w:val="0"/>
          <w:numId w:val="0"/>
        </w:numPr>
        <w:spacing w:line="360" w:lineRule="auto"/>
        <w:ind w:firstLine="560" w:firstLineChars="200"/>
        <w:rPr>
          <w:rFonts w:hint="eastAsia" w:ascii="Times New Roman" w:cs="Times New Roman"/>
          <w:color w:val="000000"/>
          <w:sz w:val="28"/>
          <w:szCs w:val="28"/>
          <w:lang w:eastAsia="zh-CN"/>
        </w:rPr>
      </w:pPr>
      <w:r>
        <w:rPr>
          <w:rFonts w:hint="eastAsia" w:ascii="Times New Roman" w:cs="Times New Roman"/>
          <w:color w:val="000000"/>
          <w:sz w:val="28"/>
          <w:szCs w:val="28"/>
          <w:lang w:eastAsia="zh-CN"/>
        </w:rPr>
        <w:t>①在项目投资决策阶段，工程咨询方可编制或审核项目投资估算，并可编制或审核项目经济评价报告。</w:t>
      </w:r>
    </w:p>
    <w:p>
      <w:pPr>
        <w:numPr>
          <w:ilvl w:val="0"/>
          <w:numId w:val="0"/>
        </w:numPr>
        <w:spacing w:line="360" w:lineRule="auto"/>
        <w:ind w:firstLine="560" w:firstLineChars="200"/>
        <w:rPr>
          <w:rFonts w:hint="eastAsia" w:ascii="Times New Roman" w:cs="Times New Roman"/>
          <w:color w:val="000000"/>
          <w:sz w:val="28"/>
          <w:szCs w:val="28"/>
          <w:lang w:eastAsia="zh-CN"/>
        </w:rPr>
      </w:pPr>
      <w:r>
        <w:rPr>
          <w:rFonts w:hint="eastAsia" w:ascii="Times New Roman" w:cs="Times New Roman"/>
          <w:color w:val="000000"/>
          <w:sz w:val="28"/>
          <w:szCs w:val="28"/>
          <w:lang w:eastAsia="zh-CN"/>
        </w:rPr>
        <w:t>②在项目设计阶段，工程咨询方可编制或审核项目设计概算、施工图预算，并可针对设计方案优化、限额设计方案进行工程造价比较分析。</w:t>
      </w:r>
    </w:p>
    <w:p>
      <w:pPr>
        <w:numPr>
          <w:ilvl w:val="0"/>
          <w:numId w:val="0"/>
        </w:numPr>
        <w:spacing w:line="360" w:lineRule="auto"/>
        <w:ind w:firstLine="560" w:firstLineChars="200"/>
        <w:rPr>
          <w:rFonts w:hint="eastAsia" w:ascii="Times New Roman" w:cs="Times New Roman"/>
          <w:color w:val="000000"/>
          <w:sz w:val="28"/>
          <w:szCs w:val="28"/>
          <w:lang w:eastAsia="zh-CN"/>
        </w:rPr>
      </w:pPr>
      <w:r>
        <w:rPr>
          <w:rFonts w:hint="eastAsia" w:ascii="Times New Roman" w:cs="Times New Roman"/>
          <w:color w:val="000000"/>
          <w:sz w:val="28"/>
          <w:szCs w:val="28"/>
          <w:lang w:eastAsia="zh-CN"/>
        </w:rPr>
        <w:t>③在项目发承包阶段，工程咨询方可编制或审核工程量清单、标底或最高投标限价，并可进行合同策划，拟定工程合同中有关造价条款；还可审核投标报价文件，并协助委托方签订工程承包合同。</w:t>
      </w:r>
    </w:p>
    <w:p>
      <w:pPr>
        <w:numPr>
          <w:ilvl w:val="0"/>
          <w:numId w:val="0"/>
        </w:numPr>
        <w:spacing w:line="360" w:lineRule="auto"/>
        <w:ind w:firstLine="560" w:firstLineChars="200"/>
        <w:rPr>
          <w:rFonts w:hint="eastAsia" w:ascii="Times New Roman" w:cs="Times New Roman"/>
          <w:color w:val="000000"/>
          <w:sz w:val="28"/>
          <w:szCs w:val="28"/>
          <w:lang w:eastAsia="zh-CN"/>
        </w:rPr>
      </w:pPr>
      <w:r>
        <w:rPr>
          <w:rFonts w:hint="eastAsia" w:ascii="Times New Roman" w:cs="Times New Roman"/>
          <w:color w:val="000000"/>
          <w:sz w:val="28"/>
          <w:szCs w:val="28"/>
          <w:lang w:eastAsia="zh-CN"/>
        </w:rPr>
        <w:t>④在项目施工阶段，工程咨询方可协助委托方编制资金使用计划，进行工程计量及预付款、进度款支付审核，并可确定工程变更、索赔费用，进行工程造价动态分析和审核合同价款调整等工作。</w:t>
      </w:r>
    </w:p>
    <w:p>
      <w:pPr>
        <w:numPr>
          <w:ilvl w:val="0"/>
          <w:numId w:val="0"/>
        </w:numPr>
        <w:spacing w:line="360" w:lineRule="auto"/>
        <w:ind w:firstLine="560" w:firstLineChars="200"/>
        <w:rPr>
          <w:rFonts w:hint="eastAsia" w:ascii="Times New Roman" w:cs="Times New Roman"/>
          <w:color w:val="000000"/>
          <w:sz w:val="28"/>
          <w:szCs w:val="28"/>
          <w:lang w:eastAsia="zh-CN"/>
        </w:rPr>
      </w:pPr>
      <w:r>
        <w:rPr>
          <w:rFonts w:hint="eastAsia" w:ascii="Times New Roman" w:cs="Times New Roman"/>
          <w:color w:val="000000"/>
          <w:sz w:val="28"/>
          <w:szCs w:val="28"/>
          <w:lang w:eastAsia="zh-CN"/>
        </w:rPr>
        <w:t>⑤在项目竣工阶段，工程咨询方可审核工程结算报告，并可编制或审核工程竣工决算报告，配合审计部门完成工程竣工决算审计工作。</w:t>
      </w:r>
    </w:p>
    <w:p>
      <w:pPr>
        <w:numPr>
          <w:ilvl w:val="0"/>
          <w:numId w:val="0"/>
        </w:numPr>
        <w:spacing w:line="360" w:lineRule="auto"/>
        <w:ind w:firstLine="560" w:firstLineChars="200"/>
        <w:rPr>
          <w:rFonts w:hint="eastAsia" w:ascii="Times New Roman" w:cs="Times New Roman"/>
          <w:color w:val="000000"/>
          <w:sz w:val="28"/>
          <w:szCs w:val="28"/>
          <w:lang w:eastAsia="zh-CN"/>
        </w:rPr>
      </w:pPr>
      <w:r>
        <w:rPr>
          <w:rFonts w:hint="eastAsia" w:ascii="Times New Roman" w:cs="Times New Roman"/>
          <w:color w:val="000000"/>
          <w:sz w:val="28"/>
          <w:szCs w:val="28"/>
          <w:lang w:eastAsia="zh-CN"/>
        </w:rPr>
        <w:t>⑥工程咨询方可鉴定工程经济纠纷，提出鉴定意见书，还可核查工程保险理赔事宜。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27" w:lineRule="atLeast"/>
        <w:ind w:left="0" w:right="0" w:firstLine="562" w:firstLineChars="200"/>
        <w:jc w:val="both"/>
        <w:rPr>
          <w:rFonts w:hint="eastAsia" w:ascii="Times New Roman" w:hAnsi="Calibri" w:eastAsia="宋体" w:cs="Times New Roman"/>
          <w:color w:val="000000"/>
          <w:kern w:val="2"/>
          <w:sz w:val="28"/>
          <w:szCs w:val="28"/>
          <w:lang w:val="en-US" w:eastAsia="zh-CN"/>
        </w:rPr>
      </w:pPr>
      <w:r>
        <w:rPr>
          <w:rFonts w:hint="eastAsia" w:ascii="Times New Roman" w:cs="Times New Roman"/>
          <w:b/>
          <w:bCs/>
          <w:color w:val="000000"/>
          <w:kern w:val="2"/>
          <w:sz w:val="28"/>
          <w:szCs w:val="28"/>
          <w:lang w:val="en-US" w:eastAsia="zh-CN"/>
        </w:rPr>
        <w:t>2、</w:t>
      </w:r>
      <w:r>
        <w:rPr>
          <w:rFonts w:hint="eastAsia" w:ascii="Times New Roman" w:hAnsi="Calibri" w:eastAsia="宋体" w:cs="Times New Roman"/>
          <w:b/>
          <w:bCs/>
          <w:color w:val="000000"/>
          <w:kern w:val="2"/>
          <w:sz w:val="28"/>
          <w:szCs w:val="28"/>
          <w:lang w:val="en-US" w:eastAsia="zh-CN"/>
        </w:rPr>
        <w:t>收费标准：</w:t>
      </w:r>
      <w:r>
        <w:rPr>
          <w:rFonts w:hint="eastAsia" w:ascii="Times New Roman" w:cs="Times New Roman"/>
          <w:b w:val="0"/>
          <w:bCs w:val="0"/>
          <w:color w:val="000000"/>
          <w:kern w:val="2"/>
          <w:sz w:val="28"/>
          <w:szCs w:val="28"/>
          <w:lang w:val="en-US" w:eastAsia="zh-CN"/>
        </w:rPr>
        <w:t>参考《</w:t>
      </w:r>
      <w:r>
        <w:rPr>
          <w:rFonts w:hint="default" w:ascii="Times New Roman" w:hAnsi="Calibri" w:eastAsia="宋体" w:cs="Times New Roman"/>
          <w:color w:val="000000"/>
          <w:kern w:val="2"/>
          <w:sz w:val="28"/>
          <w:szCs w:val="28"/>
          <w:lang w:val="en-US" w:eastAsia="zh-CN"/>
        </w:rPr>
        <w:t>桂价协字</w:t>
      </w:r>
      <w:r>
        <w:rPr>
          <w:rFonts w:hint="eastAsia" w:ascii="Times New Roman" w:cs="Times New Roman"/>
          <w:color w:val="000000"/>
          <w:kern w:val="2"/>
          <w:sz w:val="28"/>
          <w:szCs w:val="28"/>
          <w:lang w:val="en-US" w:eastAsia="zh-CN"/>
        </w:rPr>
        <w:t>（</w:t>
      </w:r>
      <w:r>
        <w:rPr>
          <w:rFonts w:hint="default" w:ascii="Times New Roman" w:hAnsi="Calibri" w:eastAsia="宋体" w:cs="Times New Roman"/>
          <w:color w:val="000000"/>
          <w:kern w:val="2"/>
          <w:sz w:val="28"/>
          <w:szCs w:val="28"/>
          <w:lang w:val="en-US" w:eastAsia="zh-CN"/>
        </w:rPr>
        <w:t>2019</w:t>
      </w:r>
      <w:r>
        <w:rPr>
          <w:rFonts w:hint="eastAsia" w:ascii="Times New Roman" w:cs="Times New Roman"/>
          <w:color w:val="000000"/>
          <w:kern w:val="2"/>
          <w:sz w:val="28"/>
          <w:szCs w:val="28"/>
          <w:lang w:val="en-US" w:eastAsia="zh-CN"/>
        </w:rPr>
        <w:t>）</w:t>
      </w:r>
      <w:r>
        <w:rPr>
          <w:rFonts w:hint="default" w:ascii="Times New Roman" w:hAnsi="Calibri" w:eastAsia="宋体" w:cs="Times New Roman"/>
          <w:color w:val="000000"/>
          <w:kern w:val="2"/>
          <w:sz w:val="28"/>
          <w:szCs w:val="28"/>
          <w:lang w:val="en-US" w:eastAsia="zh-CN"/>
        </w:rPr>
        <w:t>15号</w:t>
      </w:r>
      <w:r>
        <w:rPr>
          <w:rFonts w:hint="eastAsia" w:ascii="Times New Roman" w:cs="Times New Roman"/>
          <w:b w:val="0"/>
          <w:bCs w:val="0"/>
          <w:color w:val="000000"/>
          <w:kern w:val="2"/>
          <w:sz w:val="28"/>
          <w:szCs w:val="28"/>
          <w:lang w:val="en-US" w:eastAsia="zh-CN"/>
        </w:rPr>
        <w:t>》</w:t>
      </w:r>
      <w:r>
        <w:rPr>
          <w:rFonts w:hint="eastAsia" w:ascii="Times New Roman" w:hAnsi="Calibri" w:eastAsia="宋体" w:cs="Times New Roman"/>
          <w:color w:val="000000"/>
          <w:kern w:val="2"/>
          <w:sz w:val="28"/>
          <w:szCs w:val="28"/>
          <w:lang w:val="en-US" w:eastAsia="zh-CN"/>
        </w:rPr>
        <w:t>。</w:t>
      </w:r>
    </w:p>
    <w:tbl>
      <w:tblPr>
        <w:tblStyle w:val="5"/>
        <w:tblW w:w="102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17"/>
        <w:gridCol w:w="440"/>
        <w:gridCol w:w="291"/>
        <w:gridCol w:w="629"/>
        <w:gridCol w:w="1051"/>
        <w:gridCol w:w="1650"/>
        <w:gridCol w:w="1050"/>
        <w:gridCol w:w="968"/>
        <w:gridCol w:w="1186"/>
        <w:gridCol w:w="1173"/>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jc w:val="center"/>
        </w:trPr>
        <w:tc>
          <w:tcPr>
            <w:tcW w:w="717" w:type="dxa"/>
            <w:vMerge w:val="restart"/>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i w:val="0"/>
                <w:caps w:val="0"/>
                <w:color w:val="333333"/>
                <w:spacing w:val="0"/>
                <w:kern w:val="0"/>
                <w:sz w:val="28"/>
                <w:szCs w:val="28"/>
                <w:shd w:val="clear" w:color="auto" w:fill="auto"/>
                <w:lang w:val="en-US" w:eastAsia="zh-CN" w:bidi="ar"/>
              </w:rPr>
              <w:t>序号</w:t>
            </w:r>
          </w:p>
        </w:tc>
        <w:tc>
          <w:tcPr>
            <w:tcW w:w="2411" w:type="dxa"/>
            <w:gridSpan w:val="4"/>
            <w:vMerge w:val="restart"/>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咨询项目名称</w:t>
            </w:r>
          </w:p>
        </w:tc>
        <w:tc>
          <w:tcPr>
            <w:tcW w:w="1650" w:type="dxa"/>
            <w:vMerge w:val="restart"/>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费用基数</w:t>
            </w:r>
          </w:p>
        </w:tc>
        <w:tc>
          <w:tcPr>
            <w:tcW w:w="5443" w:type="dxa"/>
            <w:gridSpan w:val="5"/>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按差额定率分档累进方法计算（费率单位：‰）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jc w:val="center"/>
        </w:trPr>
        <w:tc>
          <w:tcPr>
            <w:tcW w:w="717" w:type="dxa"/>
            <w:vMerge w:val="continue"/>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jc w:val="left"/>
              <w:rPr>
                <w:rFonts w:hint="eastAsia" w:ascii="宋体" w:hAnsi="宋体" w:eastAsia="宋体" w:cs="宋体"/>
                <w:i w:val="0"/>
                <w:caps w:val="0"/>
                <w:color w:val="333333"/>
                <w:spacing w:val="0"/>
                <w:sz w:val="28"/>
                <w:szCs w:val="28"/>
                <w:shd w:val="clear" w:color="auto" w:fill="auto"/>
              </w:rPr>
            </w:pPr>
          </w:p>
        </w:tc>
        <w:tc>
          <w:tcPr>
            <w:tcW w:w="2411" w:type="dxa"/>
            <w:gridSpan w:val="4"/>
            <w:vMerge w:val="continue"/>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jc w:val="left"/>
              <w:rPr>
                <w:rFonts w:hint="eastAsia" w:ascii="宋体" w:hAnsi="宋体" w:eastAsia="宋体" w:cs="宋体"/>
                <w:i w:val="0"/>
                <w:caps w:val="0"/>
                <w:color w:val="333333"/>
                <w:spacing w:val="0"/>
                <w:sz w:val="28"/>
                <w:szCs w:val="28"/>
                <w:shd w:val="clear" w:color="auto" w:fill="auto"/>
              </w:rPr>
            </w:pPr>
          </w:p>
        </w:tc>
        <w:tc>
          <w:tcPr>
            <w:tcW w:w="1650" w:type="dxa"/>
            <w:vMerge w:val="continue"/>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jc w:val="left"/>
              <w:rPr>
                <w:rFonts w:hint="eastAsia" w:ascii="宋体" w:hAnsi="宋体" w:eastAsia="宋体" w:cs="宋体"/>
                <w:i w:val="0"/>
                <w:caps w:val="0"/>
                <w:color w:val="333333"/>
                <w:spacing w:val="0"/>
                <w:sz w:val="28"/>
                <w:szCs w:val="28"/>
                <w:shd w:val="clear" w:color="auto" w:fill="auto"/>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1000万元以下</w:t>
            </w:r>
          </w:p>
        </w:tc>
        <w:tc>
          <w:tcPr>
            <w:tcW w:w="968"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1000-5000万元（含）</w:t>
            </w:r>
          </w:p>
        </w:tc>
        <w:tc>
          <w:tcPr>
            <w:tcW w:w="118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5000万元-2亿元（含）</w:t>
            </w:r>
          </w:p>
        </w:tc>
        <w:tc>
          <w:tcPr>
            <w:tcW w:w="1173"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i w:val="0"/>
                <w:caps w:val="0"/>
                <w:color w:val="333333"/>
                <w:spacing w:val="0"/>
                <w:sz w:val="28"/>
                <w:szCs w:val="28"/>
                <w:shd w:val="clear" w:color="auto" w:fill="auto"/>
                <w:lang w:eastAsia="zh-CN"/>
              </w:rPr>
            </w:pPr>
            <w:r>
              <w:rPr>
                <w:rFonts w:hint="eastAsia" w:ascii="宋体" w:hAnsi="宋体" w:eastAsia="宋体" w:cs="宋体"/>
                <w:i w:val="0"/>
                <w:caps w:val="0"/>
                <w:color w:val="333333"/>
                <w:spacing w:val="0"/>
                <w:sz w:val="28"/>
                <w:szCs w:val="28"/>
                <w:shd w:val="clear" w:color="auto" w:fill="auto"/>
              </w:rPr>
              <w:t>2亿元-5亿元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（含）</w:t>
            </w:r>
          </w:p>
        </w:tc>
        <w:tc>
          <w:tcPr>
            <w:tcW w:w="106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i w:val="0"/>
                <w:caps w:val="0"/>
                <w:color w:val="333333"/>
                <w:spacing w:val="0"/>
                <w:sz w:val="28"/>
                <w:szCs w:val="28"/>
                <w:shd w:val="clear" w:color="auto" w:fill="auto"/>
                <w:lang w:eastAsia="zh-CN"/>
              </w:rPr>
            </w:pPr>
            <w:r>
              <w:rPr>
                <w:rFonts w:hint="eastAsia" w:ascii="宋体" w:hAnsi="宋体" w:eastAsia="宋体" w:cs="宋体"/>
                <w:i w:val="0"/>
                <w:caps w:val="0"/>
                <w:color w:val="333333"/>
                <w:spacing w:val="0"/>
                <w:sz w:val="28"/>
                <w:szCs w:val="28"/>
                <w:shd w:val="clear" w:color="auto" w:fill="auto"/>
              </w:rPr>
              <w:t>5亿元以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jc w:val="center"/>
        </w:trPr>
        <w:tc>
          <w:tcPr>
            <w:tcW w:w="717"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w:t>
            </w:r>
          </w:p>
        </w:tc>
        <w:tc>
          <w:tcPr>
            <w:tcW w:w="2411" w:type="dxa"/>
            <w:gridSpan w:val="4"/>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投资估算编制</w:t>
            </w:r>
          </w:p>
        </w:tc>
        <w:tc>
          <w:tcPr>
            <w:tcW w:w="1650"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建设项目总投资</w:t>
            </w:r>
          </w:p>
        </w:tc>
        <w:tc>
          <w:tcPr>
            <w:tcW w:w="1050"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0.7</w:t>
            </w:r>
          </w:p>
        </w:tc>
        <w:tc>
          <w:tcPr>
            <w:tcW w:w="968"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0.5</w:t>
            </w:r>
          </w:p>
        </w:tc>
        <w:tc>
          <w:tcPr>
            <w:tcW w:w="1186"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0.3</w:t>
            </w:r>
          </w:p>
        </w:tc>
        <w:tc>
          <w:tcPr>
            <w:tcW w:w="1173"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0.2</w:t>
            </w:r>
          </w:p>
        </w:tc>
        <w:tc>
          <w:tcPr>
            <w:tcW w:w="1066"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jc w:val="center"/>
        </w:trPr>
        <w:tc>
          <w:tcPr>
            <w:tcW w:w="717"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2</w:t>
            </w:r>
          </w:p>
        </w:tc>
        <w:tc>
          <w:tcPr>
            <w:tcW w:w="2411" w:type="dxa"/>
            <w:gridSpan w:val="4"/>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工程概算编制</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建设项目总投资</w:t>
            </w:r>
          </w:p>
        </w:tc>
        <w:tc>
          <w:tcPr>
            <w:tcW w:w="1050"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1.7</w:t>
            </w:r>
          </w:p>
        </w:tc>
        <w:tc>
          <w:tcPr>
            <w:tcW w:w="968"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1.4</w:t>
            </w:r>
          </w:p>
        </w:tc>
        <w:tc>
          <w:tcPr>
            <w:tcW w:w="118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1.2</w:t>
            </w:r>
          </w:p>
        </w:tc>
        <w:tc>
          <w:tcPr>
            <w:tcW w:w="1173"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w:t>
            </w:r>
          </w:p>
        </w:tc>
        <w:tc>
          <w:tcPr>
            <w:tcW w:w="106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jc w:val="center"/>
        </w:trPr>
        <w:tc>
          <w:tcPr>
            <w:tcW w:w="717"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3</w:t>
            </w:r>
          </w:p>
        </w:tc>
        <w:tc>
          <w:tcPr>
            <w:tcW w:w="2411" w:type="dxa"/>
            <w:gridSpan w:val="4"/>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施工图预算编制</w:t>
            </w:r>
          </w:p>
        </w:tc>
        <w:tc>
          <w:tcPr>
            <w:tcW w:w="1650"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建筑安装工程造价</w:t>
            </w:r>
          </w:p>
        </w:tc>
        <w:tc>
          <w:tcPr>
            <w:tcW w:w="1050"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3.5</w:t>
            </w:r>
          </w:p>
        </w:tc>
        <w:tc>
          <w:tcPr>
            <w:tcW w:w="968"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2.5</w:t>
            </w:r>
          </w:p>
        </w:tc>
        <w:tc>
          <w:tcPr>
            <w:tcW w:w="1186"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2</w:t>
            </w:r>
          </w:p>
        </w:tc>
        <w:tc>
          <w:tcPr>
            <w:tcW w:w="1173"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1.6</w:t>
            </w:r>
          </w:p>
        </w:tc>
        <w:tc>
          <w:tcPr>
            <w:tcW w:w="1066"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jc w:val="center"/>
        </w:trPr>
        <w:tc>
          <w:tcPr>
            <w:tcW w:w="717"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4</w:t>
            </w:r>
          </w:p>
        </w:tc>
        <w:tc>
          <w:tcPr>
            <w:tcW w:w="2411" w:type="dxa"/>
            <w:gridSpan w:val="4"/>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工程量清单及招标控制价编制</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建筑安装工程造价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3.9</w:t>
            </w:r>
          </w:p>
        </w:tc>
        <w:tc>
          <w:tcPr>
            <w:tcW w:w="968"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3</w:t>
            </w:r>
          </w:p>
        </w:tc>
        <w:tc>
          <w:tcPr>
            <w:tcW w:w="118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2.6</w:t>
            </w:r>
          </w:p>
        </w:tc>
        <w:tc>
          <w:tcPr>
            <w:tcW w:w="1173"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2.2</w:t>
            </w:r>
          </w:p>
        </w:tc>
        <w:tc>
          <w:tcPr>
            <w:tcW w:w="106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jc w:val="center"/>
        </w:trPr>
        <w:tc>
          <w:tcPr>
            <w:tcW w:w="717"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5</w:t>
            </w:r>
          </w:p>
        </w:tc>
        <w:tc>
          <w:tcPr>
            <w:tcW w:w="2411" w:type="dxa"/>
            <w:gridSpan w:val="4"/>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施工过程造价咨询</w:t>
            </w:r>
          </w:p>
        </w:tc>
        <w:tc>
          <w:tcPr>
            <w:tcW w:w="1650"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建筑安装工程造价</w:t>
            </w:r>
          </w:p>
        </w:tc>
        <w:tc>
          <w:tcPr>
            <w:tcW w:w="1050"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5.2</w:t>
            </w:r>
          </w:p>
        </w:tc>
        <w:tc>
          <w:tcPr>
            <w:tcW w:w="968"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4</w:t>
            </w:r>
          </w:p>
        </w:tc>
        <w:tc>
          <w:tcPr>
            <w:tcW w:w="1186"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3.4</w:t>
            </w:r>
          </w:p>
        </w:tc>
        <w:tc>
          <w:tcPr>
            <w:tcW w:w="1173"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2.8</w:t>
            </w:r>
          </w:p>
        </w:tc>
        <w:tc>
          <w:tcPr>
            <w:tcW w:w="1066"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jc w:val="center"/>
        </w:trPr>
        <w:tc>
          <w:tcPr>
            <w:tcW w:w="717"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6</w:t>
            </w:r>
          </w:p>
        </w:tc>
        <w:tc>
          <w:tcPr>
            <w:tcW w:w="440"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竣工结算审核</w:t>
            </w:r>
          </w:p>
        </w:tc>
        <w:tc>
          <w:tcPr>
            <w:tcW w:w="920"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left"/>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6.1按“基本费+效益费”计费</w:t>
            </w:r>
          </w:p>
        </w:tc>
        <w:tc>
          <w:tcPr>
            <w:tcW w:w="1051"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（1）基本费</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送审工程造价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3</w:t>
            </w:r>
          </w:p>
        </w:tc>
        <w:tc>
          <w:tcPr>
            <w:tcW w:w="968"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2</w:t>
            </w:r>
          </w:p>
        </w:tc>
        <w:tc>
          <w:tcPr>
            <w:tcW w:w="118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1.5</w:t>
            </w:r>
          </w:p>
        </w:tc>
        <w:tc>
          <w:tcPr>
            <w:tcW w:w="1173"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1.2</w:t>
            </w:r>
          </w:p>
        </w:tc>
        <w:tc>
          <w:tcPr>
            <w:tcW w:w="106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7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jc w:val="left"/>
              <w:rPr>
                <w:rFonts w:hint="eastAsia" w:ascii="宋体" w:hAnsi="宋体" w:eastAsia="宋体" w:cs="宋体"/>
                <w:i w:val="0"/>
                <w:caps w:val="0"/>
                <w:color w:val="333333"/>
                <w:spacing w:val="0"/>
                <w:sz w:val="28"/>
                <w:szCs w:val="28"/>
                <w:shd w:val="clear" w:color="auto" w:fill="auto"/>
              </w:rPr>
            </w:pPr>
          </w:p>
        </w:tc>
        <w:tc>
          <w:tcPr>
            <w:tcW w:w="44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jc w:val="left"/>
              <w:rPr>
                <w:rFonts w:hint="eastAsia" w:ascii="宋体" w:hAnsi="宋体" w:eastAsia="宋体" w:cs="宋体"/>
                <w:i w:val="0"/>
                <w:caps w:val="0"/>
                <w:color w:val="333333"/>
                <w:spacing w:val="0"/>
                <w:sz w:val="28"/>
                <w:szCs w:val="28"/>
                <w:shd w:val="clear" w:color="auto" w:fill="auto"/>
              </w:rPr>
            </w:pPr>
          </w:p>
        </w:tc>
        <w:tc>
          <w:tcPr>
            <w:tcW w:w="92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jc w:val="left"/>
              <w:rPr>
                <w:rFonts w:hint="eastAsia" w:ascii="宋体" w:hAnsi="宋体" w:eastAsia="宋体" w:cs="宋体"/>
                <w:i w:val="0"/>
                <w:caps w:val="0"/>
                <w:color w:val="333333"/>
                <w:spacing w:val="0"/>
                <w:sz w:val="28"/>
                <w:szCs w:val="28"/>
                <w:shd w:val="clear" w:color="auto" w:fill="auto"/>
              </w:rPr>
            </w:pPr>
          </w:p>
        </w:tc>
        <w:tc>
          <w:tcPr>
            <w:tcW w:w="1051"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（2）效益费</w:t>
            </w:r>
          </w:p>
        </w:tc>
        <w:tc>
          <w:tcPr>
            <w:tcW w:w="1650"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left"/>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︱核减额︱+核增额</w:t>
            </w:r>
          </w:p>
        </w:tc>
        <w:tc>
          <w:tcPr>
            <w:tcW w:w="5443" w:type="dxa"/>
            <w:gridSpan w:val="5"/>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7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jc w:val="left"/>
              <w:rPr>
                <w:rFonts w:hint="eastAsia" w:ascii="宋体" w:hAnsi="宋体" w:eastAsia="宋体" w:cs="宋体"/>
                <w:i w:val="0"/>
                <w:caps w:val="0"/>
                <w:color w:val="333333"/>
                <w:spacing w:val="0"/>
                <w:sz w:val="28"/>
                <w:szCs w:val="28"/>
                <w:shd w:val="clear" w:color="auto" w:fill="auto"/>
              </w:rPr>
            </w:pPr>
          </w:p>
        </w:tc>
        <w:tc>
          <w:tcPr>
            <w:tcW w:w="44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jc w:val="left"/>
              <w:rPr>
                <w:rFonts w:hint="eastAsia" w:ascii="宋体" w:hAnsi="宋体" w:eastAsia="宋体" w:cs="宋体"/>
                <w:i w:val="0"/>
                <w:caps w:val="0"/>
                <w:color w:val="333333"/>
                <w:spacing w:val="0"/>
                <w:sz w:val="28"/>
                <w:szCs w:val="28"/>
                <w:shd w:val="clear" w:color="auto" w:fill="auto"/>
              </w:rPr>
            </w:pPr>
          </w:p>
        </w:tc>
        <w:tc>
          <w:tcPr>
            <w:tcW w:w="1971"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6.2按送审工程造价计费</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送审工程造价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5.4</w:t>
            </w:r>
          </w:p>
        </w:tc>
        <w:tc>
          <w:tcPr>
            <w:tcW w:w="968"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4.2</w:t>
            </w:r>
          </w:p>
        </w:tc>
        <w:tc>
          <w:tcPr>
            <w:tcW w:w="118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3.5</w:t>
            </w:r>
          </w:p>
        </w:tc>
        <w:tc>
          <w:tcPr>
            <w:tcW w:w="1173"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2.9</w:t>
            </w:r>
          </w:p>
        </w:tc>
        <w:tc>
          <w:tcPr>
            <w:tcW w:w="106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717" w:type="dxa"/>
            <w:vMerge w:val="restart"/>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7</w:t>
            </w:r>
          </w:p>
        </w:tc>
        <w:tc>
          <w:tcPr>
            <w:tcW w:w="731" w:type="dxa"/>
            <w:gridSpan w:val="2"/>
            <w:vMerge w:val="restart"/>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全过程造价咨询</w:t>
            </w:r>
          </w:p>
        </w:tc>
        <w:tc>
          <w:tcPr>
            <w:tcW w:w="1680" w:type="dxa"/>
            <w:gridSpan w:val="2"/>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left"/>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从项目立项阶段起</w:t>
            </w:r>
          </w:p>
        </w:tc>
        <w:tc>
          <w:tcPr>
            <w:tcW w:w="1650"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建筑安装工程造价</w:t>
            </w:r>
          </w:p>
        </w:tc>
        <w:tc>
          <w:tcPr>
            <w:tcW w:w="1050"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15</w:t>
            </w:r>
          </w:p>
        </w:tc>
        <w:tc>
          <w:tcPr>
            <w:tcW w:w="968"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12</w:t>
            </w:r>
          </w:p>
        </w:tc>
        <w:tc>
          <w:tcPr>
            <w:tcW w:w="1186"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10</w:t>
            </w:r>
          </w:p>
        </w:tc>
        <w:tc>
          <w:tcPr>
            <w:tcW w:w="1173"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8.5</w:t>
            </w:r>
          </w:p>
        </w:tc>
        <w:tc>
          <w:tcPr>
            <w:tcW w:w="1066"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jc w:val="center"/>
        </w:trPr>
        <w:tc>
          <w:tcPr>
            <w:tcW w:w="717" w:type="dxa"/>
            <w:vMerge w:val="continue"/>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jc w:val="left"/>
              <w:rPr>
                <w:rFonts w:hint="eastAsia" w:ascii="宋体" w:hAnsi="宋体" w:eastAsia="宋体" w:cs="宋体"/>
                <w:i w:val="0"/>
                <w:caps w:val="0"/>
                <w:color w:val="333333"/>
                <w:spacing w:val="0"/>
                <w:sz w:val="28"/>
                <w:szCs w:val="28"/>
                <w:shd w:val="clear" w:color="auto" w:fill="auto"/>
              </w:rPr>
            </w:pPr>
          </w:p>
        </w:tc>
        <w:tc>
          <w:tcPr>
            <w:tcW w:w="731" w:type="dxa"/>
            <w:gridSpan w:val="2"/>
            <w:vMerge w:val="continue"/>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jc w:val="left"/>
              <w:rPr>
                <w:rFonts w:hint="eastAsia" w:ascii="宋体" w:hAnsi="宋体" w:eastAsia="宋体" w:cs="宋体"/>
                <w:i w:val="0"/>
                <w:caps w:val="0"/>
                <w:color w:val="333333"/>
                <w:spacing w:val="0"/>
                <w:sz w:val="28"/>
                <w:szCs w:val="28"/>
                <w:shd w:val="clear" w:color="auto" w:fill="auto"/>
              </w:rPr>
            </w:pPr>
          </w:p>
        </w:tc>
        <w:tc>
          <w:tcPr>
            <w:tcW w:w="1680"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left"/>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从项目实施阶段起</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建筑安装工程造价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13</w:t>
            </w:r>
          </w:p>
        </w:tc>
        <w:tc>
          <w:tcPr>
            <w:tcW w:w="968"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10</w:t>
            </w:r>
          </w:p>
        </w:tc>
        <w:tc>
          <w:tcPr>
            <w:tcW w:w="118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8.5</w:t>
            </w:r>
          </w:p>
        </w:tc>
        <w:tc>
          <w:tcPr>
            <w:tcW w:w="1173"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7.5</w:t>
            </w:r>
          </w:p>
        </w:tc>
        <w:tc>
          <w:tcPr>
            <w:tcW w:w="1066" w:type="dxa"/>
            <w:tcBorders>
              <w:top w:val="single" w:color="000000" w:sz="6" w:space="0"/>
              <w:left w:val="single" w:color="000000" w:sz="6" w:space="0"/>
              <w:bottom w:val="single" w:color="000000" w:sz="6" w:space="0"/>
              <w:right w:val="single" w:color="000000" w:sz="6" w:space="0"/>
            </w:tcBorders>
            <w:shd w:val="clear" w:color="auto" w:fill="FFFFFF"/>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jc w:val="center"/>
        </w:trPr>
        <w:tc>
          <w:tcPr>
            <w:tcW w:w="717"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8</w:t>
            </w:r>
          </w:p>
        </w:tc>
        <w:tc>
          <w:tcPr>
            <w:tcW w:w="2411" w:type="dxa"/>
            <w:gridSpan w:val="4"/>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工程造价鉴定</w:t>
            </w:r>
          </w:p>
        </w:tc>
        <w:tc>
          <w:tcPr>
            <w:tcW w:w="1650"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鉴定标的额</w:t>
            </w:r>
          </w:p>
        </w:tc>
        <w:tc>
          <w:tcPr>
            <w:tcW w:w="1050"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9</w:t>
            </w:r>
          </w:p>
        </w:tc>
        <w:tc>
          <w:tcPr>
            <w:tcW w:w="968"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7</w:t>
            </w:r>
          </w:p>
        </w:tc>
        <w:tc>
          <w:tcPr>
            <w:tcW w:w="1186"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6</w:t>
            </w:r>
          </w:p>
        </w:tc>
        <w:tc>
          <w:tcPr>
            <w:tcW w:w="1173"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5</w:t>
            </w:r>
          </w:p>
        </w:tc>
        <w:tc>
          <w:tcPr>
            <w:tcW w:w="1066" w:type="dxa"/>
            <w:tcBorders>
              <w:top w:val="single" w:color="000000" w:sz="6" w:space="0"/>
              <w:left w:val="single" w:color="000000" w:sz="6" w:space="0"/>
              <w:bottom w:val="single" w:color="000000" w:sz="6" w:space="0"/>
              <w:right w:val="single" w:color="000000" w:sz="6" w:space="0"/>
            </w:tcBorders>
            <w:shd w:val="clear" w:color="auto" w:fill="FAFAFA"/>
            <w:noWrap w:val="0"/>
            <w:tcMar>
              <w:top w:w="45" w:type="dxa"/>
              <w:left w:w="75" w:type="dxa"/>
              <w:bottom w:w="4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jc w:val="center"/>
              <w:rPr>
                <w:rFonts w:hint="eastAsia" w:ascii="宋体" w:hAnsi="宋体" w:eastAsia="宋体" w:cs="宋体"/>
                <w:sz w:val="28"/>
                <w:szCs w:val="28"/>
                <w:shd w:val="clear" w:color="auto" w:fill="auto"/>
              </w:rPr>
            </w:pPr>
            <w:r>
              <w:rPr>
                <w:rFonts w:hint="eastAsia" w:ascii="宋体" w:hAnsi="宋体" w:eastAsia="宋体" w:cs="宋体"/>
                <w:i w:val="0"/>
                <w:caps w:val="0"/>
                <w:color w:val="333333"/>
                <w:spacing w:val="0"/>
                <w:sz w:val="28"/>
                <w:szCs w:val="28"/>
                <w:shd w:val="clear" w:color="auto" w:fill="auto"/>
              </w:rPr>
              <w:t>4</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000000"/>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000000"/>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（二）</w:t>
      </w:r>
      <w:r>
        <w:rPr>
          <w:rFonts w:hint="eastAsia" w:ascii="宋体" w:hAnsi="宋体" w:eastAsia="宋体" w:cs="宋体"/>
          <w:b/>
          <w:bCs/>
          <w:color w:val="000000"/>
          <w:sz w:val="28"/>
          <w:szCs w:val="28"/>
          <w:lang w:eastAsia="zh-CN"/>
        </w:rPr>
        <w:t>项目融资咨询</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1、</w:t>
      </w:r>
      <w:r>
        <w:rPr>
          <w:rFonts w:hint="eastAsia" w:ascii="宋体" w:hAnsi="宋体" w:eastAsia="宋体" w:cs="宋体"/>
          <w:b/>
          <w:bCs/>
          <w:color w:val="000000"/>
          <w:sz w:val="28"/>
          <w:szCs w:val="28"/>
          <w:lang w:eastAsia="zh-CN"/>
        </w:rPr>
        <w:t>主要工作内容：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工程咨询方可根据工程咨询合同约定，为委托方提供项目融资咨询服务。项目融资咨询可以是综合考虑各类融资模式的总体咨询，也可以是针对某一特定融资模式的专题咨询。</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000000"/>
          <w:sz w:val="28"/>
          <w:szCs w:val="28"/>
          <w:lang w:val="en-US" w:eastAsia="zh-CN"/>
        </w:rPr>
      </w:pPr>
      <w:r>
        <w:rPr>
          <w:rFonts w:hint="eastAsia" w:ascii="宋体" w:hAnsi="宋体" w:cs="宋体"/>
          <w:b/>
          <w:bCs/>
          <w:color w:val="000000"/>
          <w:sz w:val="28"/>
          <w:szCs w:val="28"/>
          <w:lang w:val="en-US" w:eastAsia="zh-CN"/>
        </w:rPr>
        <w:t>2、</w:t>
      </w:r>
      <w:r>
        <w:rPr>
          <w:rFonts w:hint="eastAsia" w:ascii="宋体" w:hAnsi="宋体" w:eastAsia="宋体" w:cs="宋体"/>
          <w:b/>
          <w:bCs/>
          <w:color w:val="000000"/>
          <w:sz w:val="28"/>
          <w:szCs w:val="28"/>
          <w:lang w:val="en-US" w:eastAsia="zh-CN"/>
        </w:rPr>
        <w:t>收费标准：</w:t>
      </w:r>
      <w:r>
        <w:rPr>
          <w:rFonts w:hint="eastAsia" w:ascii="宋体" w:hAnsi="宋体" w:eastAsia="宋体" w:cs="宋体"/>
          <w:color w:val="000000"/>
          <w:sz w:val="28"/>
          <w:szCs w:val="28"/>
          <w:lang w:val="en-US" w:eastAsia="zh-CN"/>
        </w:rPr>
        <w:t>甲乙双方另行约定。</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（三）</w:t>
      </w:r>
      <w:r>
        <w:rPr>
          <w:rFonts w:hint="eastAsia" w:ascii="宋体" w:hAnsi="宋体" w:eastAsia="宋体" w:cs="宋体"/>
          <w:b/>
          <w:bCs/>
          <w:color w:val="000000"/>
          <w:sz w:val="28"/>
          <w:szCs w:val="28"/>
          <w:lang w:eastAsia="zh-CN"/>
        </w:rPr>
        <w:t>信息技术咨询</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1、</w:t>
      </w:r>
      <w:r>
        <w:rPr>
          <w:rFonts w:hint="eastAsia" w:ascii="宋体" w:hAnsi="宋体" w:eastAsia="宋体" w:cs="宋体"/>
          <w:b/>
          <w:bCs/>
          <w:color w:val="000000"/>
          <w:sz w:val="28"/>
          <w:szCs w:val="28"/>
          <w:lang w:eastAsia="zh-CN"/>
        </w:rPr>
        <w:t>主要工作内容：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工程咨询方可根据工程咨询合同约定，针对信息技术系统集成或某一特定信息技术应用，为委托方在项目投资决策、建设实施乃至运营维护阶段提供数字化解决方案。</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000000"/>
          <w:sz w:val="28"/>
          <w:szCs w:val="28"/>
          <w:lang w:val="en-US" w:eastAsia="zh-CN"/>
        </w:rPr>
      </w:pPr>
      <w:r>
        <w:rPr>
          <w:rFonts w:hint="eastAsia" w:ascii="宋体" w:hAnsi="宋体" w:cs="宋体"/>
          <w:b/>
          <w:bCs/>
          <w:color w:val="000000"/>
          <w:sz w:val="28"/>
          <w:szCs w:val="28"/>
          <w:lang w:val="en-US" w:eastAsia="zh-CN"/>
        </w:rPr>
        <w:t>2、</w:t>
      </w:r>
      <w:r>
        <w:rPr>
          <w:rFonts w:hint="eastAsia" w:ascii="宋体" w:hAnsi="宋体" w:eastAsia="宋体" w:cs="宋体"/>
          <w:b/>
          <w:bCs/>
          <w:color w:val="000000"/>
          <w:sz w:val="28"/>
          <w:szCs w:val="28"/>
          <w:lang w:val="en-US" w:eastAsia="zh-CN"/>
        </w:rPr>
        <w:t>收费标准：</w:t>
      </w:r>
      <w:r>
        <w:rPr>
          <w:rFonts w:hint="eastAsia" w:ascii="宋体" w:hAnsi="宋体" w:eastAsia="宋体" w:cs="宋体"/>
          <w:color w:val="000000"/>
          <w:sz w:val="28"/>
          <w:szCs w:val="28"/>
          <w:lang w:val="en-US" w:eastAsia="zh-CN"/>
        </w:rPr>
        <w:t>甲乙双方另行约定。</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（四）</w:t>
      </w:r>
      <w:r>
        <w:rPr>
          <w:rFonts w:hint="eastAsia" w:ascii="宋体" w:hAnsi="宋体" w:eastAsia="宋体" w:cs="宋体"/>
          <w:b/>
          <w:bCs/>
          <w:color w:val="000000"/>
          <w:sz w:val="28"/>
          <w:szCs w:val="28"/>
          <w:lang w:eastAsia="zh-CN"/>
        </w:rPr>
        <w:t>风险管理咨询</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1、</w:t>
      </w:r>
      <w:r>
        <w:rPr>
          <w:rFonts w:hint="eastAsia" w:ascii="宋体" w:hAnsi="宋体" w:eastAsia="宋体" w:cs="宋体"/>
          <w:b/>
          <w:bCs/>
          <w:color w:val="000000"/>
          <w:sz w:val="28"/>
          <w:szCs w:val="28"/>
          <w:lang w:eastAsia="zh-CN"/>
        </w:rPr>
        <w:t>主要工作内容：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工程咨询方可根据工程咨询合同约定，针对项目投资决策、建设实施及运营维护阶段或其中若干阶段风险管理为委托方提供咨询服务。</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000000"/>
          <w:sz w:val="28"/>
          <w:szCs w:val="28"/>
          <w:lang w:val="en-US" w:eastAsia="zh-CN"/>
        </w:rPr>
      </w:pPr>
      <w:r>
        <w:rPr>
          <w:rFonts w:hint="eastAsia" w:ascii="宋体" w:hAnsi="宋体" w:cs="宋体"/>
          <w:b/>
          <w:bCs/>
          <w:color w:val="000000"/>
          <w:sz w:val="28"/>
          <w:szCs w:val="28"/>
          <w:lang w:val="en-US" w:eastAsia="zh-CN"/>
        </w:rPr>
        <w:t>2、</w:t>
      </w:r>
      <w:r>
        <w:rPr>
          <w:rFonts w:hint="eastAsia" w:ascii="宋体" w:hAnsi="宋体" w:eastAsia="宋体" w:cs="宋体"/>
          <w:b/>
          <w:bCs/>
          <w:color w:val="000000"/>
          <w:sz w:val="28"/>
          <w:szCs w:val="28"/>
          <w:lang w:val="en-US" w:eastAsia="zh-CN"/>
        </w:rPr>
        <w:t>收费标准：</w:t>
      </w:r>
      <w:r>
        <w:rPr>
          <w:rFonts w:hint="eastAsia" w:ascii="宋体" w:hAnsi="宋体" w:eastAsia="宋体" w:cs="宋体"/>
          <w:color w:val="000000"/>
          <w:sz w:val="28"/>
          <w:szCs w:val="28"/>
          <w:lang w:val="en-US" w:eastAsia="zh-CN"/>
        </w:rPr>
        <w:t>甲乙双方另行约定。</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（五）</w:t>
      </w:r>
      <w:r>
        <w:rPr>
          <w:rFonts w:hint="eastAsia" w:ascii="宋体" w:hAnsi="宋体" w:eastAsia="宋体" w:cs="宋体"/>
          <w:b/>
          <w:bCs/>
          <w:color w:val="000000"/>
          <w:sz w:val="28"/>
          <w:szCs w:val="28"/>
          <w:lang w:eastAsia="zh-CN"/>
        </w:rPr>
        <w:t>项目后评价咨询</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1、</w:t>
      </w:r>
      <w:r>
        <w:rPr>
          <w:rFonts w:hint="eastAsia" w:ascii="宋体" w:hAnsi="宋体" w:eastAsia="宋体" w:cs="宋体"/>
          <w:b/>
          <w:bCs/>
          <w:color w:val="000000"/>
          <w:sz w:val="28"/>
          <w:szCs w:val="28"/>
          <w:lang w:eastAsia="zh-CN"/>
        </w:rPr>
        <w:t>主要工作内容：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工程咨询方可根据工程咨询合同约定，为委托方提供包含项目过程评价、效益评价及可持续性评价的综合评价或针对项目建设或运行中某一问题的专题评价咨询服务。</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000000"/>
          <w:sz w:val="28"/>
          <w:szCs w:val="28"/>
          <w:lang w:val="en-US" w:eastAsia="zh-CN"/>
        </w:rPr>
      </w:pPr>
      <w:r>
        <w:rPr>
          <w:rFonts w:hint="eastAsia" w:ascii="宋体" w:hAnsi="宋体" w:cs="宋体"/>
          <w:b/>
          <w:bCs/>
          <w:color w:val="000000"/>
          <w:sz w:val="28"/>
          <w:szCs w:val="28"/>
          <w:lang w:val="en-US" w:eastAsia="zh-CN"/>
        </w:rPr>
        <w:t>2、</w:t>
      </w:r>
      <w:r>
        <w:rPr>
          <w:rFonts w:hint="eastAsia" w:ascii="宋体" w:hAnsi="宋体" w:eastAsia="宋体" w:cs="宋体"/>
          <w:b/>
          <w:bCs/>
          <w:color w:val="000000"/>
          <w:sz w:val="28"/>
          <w:szCs w:val="28"/>
          <w:lang w:val="en-US" w:eastAsia="zh-CN"/>
        </w:rPr>
        <w:t>收费标准：</w:t>
      </w:r>
      <w:r>
        <w:rPr>
          <w:rFonts w:hint="eastAsia" w:ascii="宋体" w:hAnsi="宋体" w:eastAsia="宋体" w:cs="宋体"/>
          <w:color w:val="000000"/>
          <w:sz w:val="28"/>
          <w:szCs w:val="28"/>
          <w:lang w:val="en-US" w:eastAsia="zh-CN"/>
        </w:rPr>
        <w:t>甲乙双方另行约定。</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（六）</w:t>
      </w:r>
      <w:r>
        <w:rPr>
          <w:rFonts w:hint="eastAsia" w:ascii="宋体" w:hAnsi="宋体" w:eastAsia="宋体" w:cs="宋体"/>
          <w:b/>
          <w:bCs/>
          <w:color w:val="000000"/>
          <w:sz w:val="28"/>
          <w:szCs w:val="28"/>
          <w:lang w:val="en-US" w:eastAsia="zh-CN"/>
        </w:rPr>
        <w:t>工程保险</w:t>
      </w:r>
      <w:r>
        <w:rPr>
          <w:rFonts w:hint="eastAsia" w:ascii="宋体" w:hAnsi="宋体" w:eastAsia="宋体" w:cs="宋体"/>
          <w:b/>
          <w:bCs/>
          <w:color w:val="000000"/>
          <w:sz w:val="28"/>
          <w:szCs w:val="28"/>
          <w:lang w:eastAsia="zh-CN"/>
        </w:rPr>
        <w:t>咨询</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1、</w:t>
      </w:r>
      <w:r>
        <w:rPr>
          <w:rFonts w:hint="eastAsia" w:ascii="宋体" w:hAnsi="宋体" w:eastAsia="宋体" w:cs="宋体"/>
          <w:b/>
          <w:bCs/>
          <w:color w:val="000000"/>
          <w:sz w:val="28"/>
          <w:szCs w:val="28"/>
          <w:lang w:eastAsia="zh-CN"/>
        </w:rPr>
        <w:t>主要工作内容：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工程咨询方可根据工程咨询合同约定，为委托方提供多项工程保险或某一特定工程保险的咨询服务。</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000000"/>
          <w:sz w:val="28"/>
          <w:szCs w:val="28"/>
          <w:lang w:val="en-US" w:eastAsia="zh-CN"/>
        </w:rPr>
      </w:pPr>
      <w:r>
        <w:rPr>
          <w:rFonts w:hint="eastAsia" w:ascii="宋体" w:hAnsi="宋体" w:cs="宋体"/>
          <w:b/>
          <w:bCs/>
          <w:color w:val="000000"/>
          <w:sz w:val="28"/>
          <w:szCs w:val="28"/>
          <w:lang w:val="en-US" w:eastAsia="zh-CN"/>
        </w:rPr>
        <w:t>2、</w:t>
      </w:r>
      <w:r>
        <w:rPr>
          <w:rFonts w:hint="eastAsia" w:ascii="宋体" w:hAnsi="宋体" w:eastAsia="宋体" w:cs="宋体"/>
          <w:b/>
          <w:bCs/>
          <w:color w:val="000000"/>
          <w:sz w:val="28"/>
          <w:szCs w:val="28"/>
          <w:lang w:val="en-US" w:eastAsia="zh-CN"/>
        </w:rPr>
        <w:t>收费标准：</w:t>
      </w:r>
      <w:r>
        <w:rPr>
          <w:rFonts w:hint="eastAsia" w:ascii="宋体" w:hAnsi="宋体" w:eastAsia="宋体" w:cs="宋体"/>
          <w:color w:val="000000"/>
          <w:sz w:val="28"/>
          <w:szCs w:val="28"/>
          <w:lang w:val="en-US" w:eastAsia="zh-CN"/>
        </w:rPr>
        <w:t>甲乙双方另行约定。</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2" w:firstLineChars="200"/>
        <w:textAlignment w:val="auto"/>
        <w:rPr>
          <w:rFonts w:hint="eastAsia" w:ascii="宋体" w:hAnsi="宋体" w:eastAsia="宋体" w:cs="宋体"/>
          <w:b/>
          <w:bCs/>
          <w:color w:val="000000"/>
          <w:sz w:val="30"/>
          <w:szCs w:val="30"/>
          <w:lang w:eastAsia="zh-CN"/>
        </w:rPr>
      </w:pPr>
      <w:r>
        <w:rPr>
          <w:rFonts w:hint="eastAsia" w:ascii="宋体" w:hAnsi="宋体" w:cs="宋体"/>
          <w:b/>
          <w:bCs/>
          <w:color w:val="000000"/>
          <w:sz w:val="30"/>
          <w:szCs w:val="30"/>
          <w:lang w:eastAsia="zh-CN"/>
        </w:rPr>
        <w:t>八</w:t>
      </w:r>
      <w:r>
        <w:rPr>
          <w:rFonts w:hint="eastAsia" w:ascii="宋体" w:hAnsi="宋体" w:eastAsia="宋体" w:cs="宋体"/>
          <w:b/>
          <w:bCs/>
          <w:color w:val="000000"/>
          <w:sz w:val="30"/>
          <w:szCs w:val="30"/>
          <w:lang w:eastAsia="zh-CN"/>
        </w:rPr>
        <w:t>、《工程建设全过程咨询》收费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cs="Times New Roman"/>
          <w:color w:val="000000"/>
          <w:sz w:val="28"/>
          <w:szCs w:val="28"/>
          <w:lang w:val="en-US" w:eastAsia="zh-CN"/>
        </w:rPr>
      </w:pPr>
      <w:r>
        <w:rPr>
          <w:rFonts w:hint="eastAsia" w:ascii="宋体" w:hAnsi="宋体" w:eastAsia="宋体" w:cs="宋体"/>
          <w:color w:val="000000"/>
          <w:sz w:val="28"/>
          <w:szCs w:val="28"/>
          <w:lang w:eastAsia="zh-CN"/>
        </w:rPr>
        <w:t>房屋建筑和市政基础设施项目实施全过程咨询服务，根据《工程建设全过程咨询》清单内容和单项收费，可以结合建设项目</w:t>
      </w:r>
      <w:r>
        <w:rPr>
          <w:rFonts w:hint="eastAsia" w:ascii="宋体" w:hAnsi="宋体" w:cs="宋体"/>
          <w:color w:val="000000"/>
          <w:sz w:val="28"/>
          <w:szCs w:val="28"/>
          <w:lang w:eastAsia="zh-CN"/>
        </w:rPr>
        <w:t>全过程咨询</w:t>
      </w:r>
      <w:r>
        <w:rPr>
          <w:rFonts w:hint="eastAsia" w:ascii="宋体" w:hAnsi="宋体" w:eastAsia="宋体" w:cs="宋体"/>
          <w:color w:val="000000"/>
          <w:sz w:val="28"/>
          <w:szCs w:val="28"/>
          <w:lang w:eastAsia="zh-CN"/>
        </w:rPr>
        <w:t>实际需要</w:t>
      </w:r>
      <w:r>
        <w:rPr>
          <w:rFonts w:hint="eastAsia" w:ascii="宋体" w:hAnsi="宋体" w:cs="宋体"/>
          <w:color w:val="000000"/>
          <w:sz w:val="28"/>
          <w:szCs w:val="28"/>
          <w:lang w:eastAsia="zh-CN"/>
        </w:rPr>
        <w:t>选项</w:t>
      </w:r>
      <w:r>
        <w:rPr>
          <w:rFonts w:hint="eastAsia" w:ascii="宋体" w:hAnsi="宋体" w:eastAsia="宋体" w:cs="宋体"/>
          <w:color w:val="000000"/>
          <w:sz w:val="28"/>
          <w:szCs w:val="28"/>
          <w:lang w:eastAsia="zh-CN"/>
        </w:rPr>
        <w:t>合理搭配，以</w:t>
      </w:r>
      <w:r>
        <w:rPr>
          <w:rFonts w:hint="eastAsia" w:ascii="宋体" w:hAnsi="宋体" w:cs="宋体"/>
          <w:color w:val="000000"/>
          <w:sz w:val="28"/>
          <w:szCs w:val="28"/>
          <w:lang w:eastAsia="zh-CN"/>
        </w:rPr>
        <w:t>选项</w:t>
      </w:r>
      <w:r>
        <w:rPr>
          <w:rFonts w:hint="eastAsia" w:ascii="宋体" w:hAnsi="宋体" w:eastAsia="宋体" w:cs="宋体"/>
          <w:color w:val="000000"/>
          <w:sz w:val="28"/>
          <w:szCs w:val="28"/>
          <w:lang w:eastAsia="zh-CN"/>
        </w:rPr>
        <w:t>内容和单项收费叠加计取总体</w:t>
      </w:r>
      <w:r>
        <w:rPr>
          <w:rFonts w:hint="eastAsia" w:ascii="宋体" w:hAnsi="宋体" w:cs="宋体"/>
          <w:color w:val="000000"/>
          <w:sz w:val="28"/>
          <w:szCs w:val="28"/>
          <w:lang w:eastAsia="zh-CN"/>
        </w:rPr>
        <w:t>咨询</w:t>
      </w:r>
      <w:r>
        <w:rPr>
          <w:rFonts w:hint="eastAsia" w:ascii="宋体" w:hAnsi="宋体" w:eastAsia="宋体" w:cs="宋体"/>
          <w:color w:val="000000"/>
          <w:sz w:val="28"/>
          <w:szCs w:val="28"/>
          <w:lang w:eastAsia="zh-CN"/>
        </w:rPr>
        <w:t>服务收费。</w:t>
      </w:r>
    </w:p>
    <w:p>
      <w:pPr>
        <w:numPr>
          <w:ilvl w:val="0"/>
          <w:numId w:val="0"/>
        </w:numPr>
        <w:spacing w:line="360" w:lineRule="auto"/>
        <w:rPr>
          <w:rFonts w:hint="eastAsia" w:ascii="Times New Roman"/>
          <w:color w:val="000000"/>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MTgxZDM1NmRiZjZjNWM3MzQwZWM5NTk2NDQ1YmYifQ=="/>
  </w:docVars>
  <w:rsids>
    <w:rsidRoot w:val="544E4259"/>
    <w:rsid w:val="018F56F9"/>
    <w:rsid w:val="04ED4041"/>
    <w:rsid w:val="050E7ACA"/>
    <w:rsid w:val="07FA657D"/>
    <w:rsid w:val="0C482A41"/>
    <w:rsid w:val="0E113F1C"/>
    <w:rsid w:val="0F2E24BA"/>
    <w:rsid w:val="0FB63DAB"/>
    <w:rsid w:val="15524A55"/>
    <w:rsid w:val="199A7866"/>
    <w:rsid w:val="1B7E703A"/>
    <w:rsid w:val="202F03D8"/>
    <w:rsid w:val="20465285"/>
    <w:rsid w:val="20516B6D"/>
    <w:rsid w:val="22CD0AE8"/>
    <w:rsid w:val="26650889"/>
    <w:rsid w:val="270525E8"/>
    <w:rsid w:val="27194949"/>
    <w:rsid w:val="29A34CF8"/>
    <w:rsid w:val="2ED268B8"/>
    <w:rsid w:val="3143297F"/>
    <w:rsid w:val="33CA4CDC"/>
    <w:rsid w:val="34A954BA"/>
    <w:rsid w:val="34BC33C8"/>
    <w:rsid w:val="362A3DE0"/>
    <w:rsid w:val="397A6337"/>
    <w:rsid w:val="3C585F4C"/>
    <w:rsid w:val="3F702853"/>
    <w:rsid w:val="414205EA"/>
    <w:rsid w:val="41812EC4"/>
    <w:rsid w:val="41AA0C80"/>
    <w:rsid w:val="45145496"/>
    <w:rsid w:val="45E7797C"/>
    <w:rsid w:val="468841C2"/>
    <w:rsid w:val="47D97FDF"/>
    <w:rsid w:val="49B64F3A"/>
    <w:rsid w:val="4B4A3F4D"/>
    <w:rsid w:val="4F0C363A"/>
    <w:rsid w:val="52124CE9"/>
    <w:rsid w:val="53991642"/>
    <w:rsid w:val="544E4259"/>
    <w:rsid w:val="550D218C"/>
    <w:rsid w:val="5C1A5324"/>
    <w:rsid w:val="5DBF5EBF"/>
    <w:rsid w:val="5E733442"/>
    <w:rsid w:val="5FC90865"/>
    <w:rsid w:val="65583990"/>
    <w:rsid w:val="67007728"/>
    <w:rsid w:val="67D352C8"/>
    <w:rsid w:val="697F069A"/>
    <w:rsid w:val="6DEE4D62"/>
    <w:rsid w:val="6F5E1AE9"/>
    <w:rsid w:val="73FE1B4D"/>
    <w:rsid w:val="765B3961"/>
    <w:rsid w:val="781C0380"/>
    <w:rsid w:val="7C64070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Other|1"/>
    <w:basedOn w:val="1"/>
    <w:qFormat/>
    <w:uiPriority w:val="0"/>
    <w:pPr>
      <w:widowControl w:val="0"/>
      <w:shd w:val="clear" w:color="auto" w:fill="auto"/>
    </w:pPr>
    <w:rPr>
      <w:u w:val="none"/>
      <w:shd w:val="clear" w:color="auto" w:fill="auto"/>
      <w:lang w:val="zh-TW" w:eastAsia="zh-TW" w:bidi="zh-TW"/>
    </w:rPr>
  </w:style>
  <w:style w:type="paragraph" w:customStyle="1" w:styleId="10">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after="280"/>
    </w:pPr>
    <w:rPr>
      <w:rFonts w:ascii="宋体" w:hAnsi="宋体" w:eastAsia="宋体" w:cs="宋体"/>
      <w:u w:val="none"/>
      <w:shd w:val="clear" w:color="auto" w:fill="auto"/>
      <w:lang w:val="zh-TW" w:eastAsia="zh-TW" w:bidi="zh-TW"/>
    </w:rPr>
  </w:style>
  <w:style w:type="paragraph" w:customStyle="1" w:styleId="12">
    <w:name w:val="Plain Text"/>
    <w:basedOn w:val="1"/>
    <w:qFormat/>
    <w:uiPriority w:val="0"/>
    <w:rPr>
      <w:rFonts w:ascii="宋体" w:hAnsi="Courier New" w:eastAsia="宋体" w:cs="Times New Roman"/>
      <w:sz w:val="24"/>
      <w:szCs w:val="24"/>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14567</Words>
  <Characters>16812</Characters>
  <Lines>0</Lines>
  <Paragraphs>0</Paragraphs>
  <TotalTime>2</TotalTime>
  <ScaleCrop>false</ScaleCrop>
  <LinksUpToDate>false</LinksUpToDate>
  <CharactersWithSpaces>16914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2022-06-10T02:37:00Z</dcterms:created>
  <dc:creator>Administrator</dc:creator>
  <cp:lastModifiedBy>牛牛</cp:lastModifiedBy>
  <cp:lastPrinted>2022-08-11T02:04:00Z</cp:lastPrinted>
  <dcterms:modified xsi:type="dcterms:W3CDTF">2022-08-19T01:25:31Z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C801ABDFFBFF4EFF97AD85D7656F322F</vt:lpwstr>
  </property>
</Properties>
</file>