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0" w:line="360" w:lineRule="auto"/>
        <w:ind w:left="3518" w:leftChars="304" w:hanging="2880" w:hangingChars="900"/>
        <w:jc w:val="center"/>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eastAsia="zh-CN"/>
        </w:rPr>
        <w:t>南宁市建设工程造价和招投标行业协会</w:t>
      </w:r>
    </w:p>
    <w:p>
      <w:pPr>
        <w:spacing w:before="240" w:beforeLines="0" w:line="360" w:lineRule="auto"/>
        <w:ind w:left="3529" w:leftChars="304" w:hanging="2891" w:hangingChars="900"/>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全过程工程咨询服务清单和收费参考标准</w:t>
      </w:r>
    </w:p>
    <w:p>
      <w:pPr>
        <w:spacing w:before="240" w:beforeLines="0" w:line="360" w:lineRule="auto"/>
        <w:ind w:firstLine="2880" w:firstLineChars="900"/>
        <w:jc w:val="both"/>
        <w:rPr>
          <w:rFonts w:hint="eastAsia" w:ascii="Times New Roman" w:hAnsi="Times New Roman"/>
          <w:color w:val="000000"/>
          <w:sz w:val="32"/>
          <w:szCs w:val="32"/>
          <w:lang w:eastAsia="zh-CN"/>
        </w:rPr>
      </w:pPr>
      <w:r>
        <w:rPr>
          <w:rFonts w:hint="eastAsia" w:ascii="Times New Roman" w:hAnsi="Times New Roman"/>
          <w:color w:val="000000"/>
          <w:sz w:val="32"/>
          <w:szCs w:val="32"/>
          <w:lang w:eastAsia="zh-CN"/>
        </w:rPr>
        <w:t>（征求意见稿）</w:t>
      </w:r>
    </w:p>
    <w:p>
      <w:pPr>
        <w:spacing w:line="360" w:lineRule="auto"/>
        <w:ind w:firstLine="560" w:firstLineChars="200"/>
        <w:rPr>
          <w:rFonts w:hint="eastAsia" w:ascii="Times New Roman"/>
          <w:color w:val="000000"/>
          <w:sz w:val="28"/>
          <w:szCs w:val="28"/>
          <w:lang w:eastAsia="zh-CN"/>
        </w:rPr>
      </w:pP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为了促进南宁市建设项目全过程工程咨询发展需要，在房屋建筑和市政基础设施领域推进全过程工程咨询服务，明确工程建设全过程工程咨询的服务范围、内容和特点，提升建设项目各参建单位对全过程工程咨询的认识和理解，解决收费标准问题。南宁市建设工程造价和招投标行业协会组织行业相关专业，工程咨询、监理咨询、造价咨询和招标代理的执业专家，开展全过程工程咨询服务清单和收费参考标准研究工作，编制了《全过程工程咨询服务清单和收费参考标准》。</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全过程工程咨询服务清单内容，采用技术标准为国家发展改革委、住房城乡建设部推出的《房屋建筑和市政基础设施建设项目全过程工程咨询服务技术标准》（征求意见稿），全过程咨询主要分《投资决策综合性咨询》和《工程建设全过程咨询》两阶段，结合南宁市建设工程实际情况，突出</w:t>
      </w:r>
      <w:bookmarkStart w:id="0" w:name="_GoBack"/>
      <w:bookmarkEnd w:id="0"/>
      <w:r>
        <w:rPr>
          <w:rFonts w:hint="eastAsia" w:ascii="Times New Roman"/>
          <w:color w:val="000000"/>
          <w:sz w:val="28"/>
          <w:szCs w:val="28"/>
          <w:lang w:eastAsia="zh-CN"/>
        </w:rPr>
        <w:t>业务指导性和实际可操作性，进行了合理调整。</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《全过程工程咨询服务清单和收费参考标准》所涉及的咨询服务范围覆盖房屋建筑和市政基础设施领域项目投资决策和建设实施全过程。</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《投资决策综合性咨询》包含投资决策阶段综合性咨询和管理的内容、程序及成果。包括投资策划咨询、可行性研究、建设条件单项咨询等。</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《工程建设全过程咨询》包括工程勘察设计咨询、工程招标采购咨询、工程监理咨询、工程监理与项目管理服务和工程专项咨询。</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专项咨询包括：工程造价咨询（建设实施过程阶段或包含项目投资决策阶段）、项目融资咨询、政府和社会资本合作咨询、信息技术咨询、风险管理咨询、项目后评价咨询、建筑节能与绿色建筑咨询、工程保险咨询。</w:t>
      </w:r>
    </w:p>
    <w:p>
      <w:pPr>
        <w:spacing w:line="360" w:lineRule="auto"/>
        <w:rPr>
          <w:rFonts w:hint="eastAsia" w:ascii="Times New Roman"/>
          <w:color w:val="000000"/>
          <w:sz w:val="28"/>
          <w:szCs w:val="28"/>
          <w:lang w:eastAsia="zh-CN"/>
        </w:rPr>
      </w:pPr>
      <w:r>
        <w:rPr>
          <w:rFonts w:hint="eastAsia" w:ascii="Times New Roman"/>
          <w:color w:val="000000"/>
          <w:sz w:val="28"/>
          <w:szCs w:val="28"/>
          <w:lang w:eastAsia="zh-CN"/>
        </w:rPr>
        <w:drawing>
          <wp:inline distT="0" distB="0" distL="114300" distR="114300">
            <wp:extent cx="5271770" cy="3235960"/>
            <wp:effectExtent l="0" t="0" r="5080" b="2540"/>
            <wp:docPr id="1" name="图片 1" descr="mmexport165603423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656034232461"/>
                    <pic:cNvPicPr>
                      <a:picLocks noChangeAspect="1"/>
                    </pic:cNvPicPr>
                  </pic:nvPicPr>
                  <pic:blipFill>
                    <a:blip r:embed="rId5"/>
                    <a:stretch>
                      <a:fillRect/>
                    </a:stretch>
                  </pic:blipFill>
                  <pic:spPr>
                    <a:xfrm>
                      <a:off x="0" y="0"/>
                      <a:ext cx="5271770" cy="3235960"/>
                    </a:xfrm>
                    <a:prstGeom prst="rect">
                      <a:avLst/>
                    </a:prstGeom>
                  </pic:spPr>
                </pic:pic>
              </a:graphicData>
            </a:graphic>
          </wp:inline>
        </w:drawing>
      </w:r>
    </w:p>
    <w:p>
      <w:pPr>
        <w:spacing w:line="360" w:lineRule="auto"/>
        <w:ind w:firstLine="602" w:firstLineChars="200"/>
        <w:rPr>
          <w:rFonts w:hint="eastAsia" w:ascii="Times New Roman"/>
          <w:b/>
          <w:bCs/>
          <w:color w:val="000000" w:themeColor="text1"/>
          <w:sz w:val="28"/>
          <w:szCs w:val="28"/>
          <w:lang w:eastAsia="zh-CN"/>
          <w14:textFill>
            <w14:solidFill>
              <w14:schemeClr w14:val="tx1"/>
            </w14:solidFill>
          </w14:textFill>
        </w:rPr>
      </w:pPr>
      <w:r>
        <w:rPr>
          <w:rFonts w:hint="eastAsia" w:ascii="Times New Roman"/>
          <w:b/>
          <w:bCs/>
          <w:color w:val="000000"/>
          <w:sz w:val="30"/>
          <w:szCs w:val="30"/>
          <w:lang w:eastAsia="zh-CN"/>
        </w:rPr>
        <w:t>一、</w:t>
      </w:r>
      <w:r>
        <w:rPr>
          <w:rFonts w:hint="eastAsia" w:ascii="Times New Roman"/>
          <w:b/>
          <w:bCs/>
          <w:color w:val="000000" w:themeColor="text1"/>
          <w:sz w:val="30"/>
          <w:szCs w:val="30"/>
          <w:lang w:eastAsia="zh-CN"/>
          <w14:textFill>
            <w14:solidFill>
              <w14:schemeClr w14:val="tx1"/>
            </w14:solidFill>
          </w14:textFill>
        </w:rPr>
        <w:t>投资决策管理、工程勘察管理、工程设计管理、施工管理</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（一）投资决策阶段管理</w:t>
      </w:r>
    </w:p>
    <w:p>
      <w:pPr>
        <w:spacing w:line="360" w:lineRule="auto"/>
        <w:ind w:firstLine="562"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spacing w:line="360" w:lineRule="auto"/>
        <w:ind w:firstLine="560"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color w:val="000000" w:themeColor="text1"/>
          <w:sz w:val="28"/>
          <w:szCs w:val="28"/>
          <w:lang w:val="en-US" w:eastAsia="zh-CN"/>
          <w14:textFill>
            <w14:solidFill>
              <w14:schemeClr w14:val="tx1"/>
            </w14:solidFill>
          </w14:textFill>
        </w:rPr>
        <w:t>①工程咨询方应建立科学的决策程序，进行多项目比较和多方案分析，就投资项目的市场、技术、经济、生态环境、能源、资源、安全等影响可行性的要素，结合国家、地区、行业发展规划及相关重大专项建设规划、产业政策、技术标准及相关审批要求，编制咨询任务书，并应报送投资方批准后方可提供给咨询公司。要求咨询公司分析研究和论证，为投资方提供综合性、一体化、便利化的咨询服务。</w:t>
      </w:r>
    </w:p>
    <w:p>
      <w:pPr>
        <w:spacing w:line="360" w:lineRule="auto"/>
        <w:ind w:firstLine="560"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color w:val="000000" w:themeColor="text1"/>
          <w:sz w:val="28"/>
          <w:szCs w:val="28"/>
          <w:lang w:val="en-US" w:eastAsia="zh-CN"/>
          <w14:textFill>
            <w14:solidFill>
              <w14:schemeClr w14:val="tx1"/>
            </w14:solidFill>
          </w14:textFill>
        </w:rPr>
        <w:t>②工程咨询方协助投资方，委托咨询公司开展投资决策综合性咨询，包括投资策划咨询、可行性研究、建设条件单项咨询等活动，以及在此基础上编制形成的，符合建设项目投资决策基本程序要求的申报材料，同时协助投资方按规定完成投资决策阶段各项审批、核准或备案事项。</w:t>
      </w:r>
    </w:p>
    <w:p>
      <w:pPr>
        <w:spacing w:line="360" w:lineRule="auto"/>
        <w:ind w:firstLine="560"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color w:val="000000" w:themeColor="text1"/>
          <w:sz w:val="28"/>
          <w:szCs w:val="28"/>
          <w:lang w:val="en-US" w:eastAsia="zh-CN"/>
          <w14:textFill>
            <w14:solidFill>
              <w14:schemeClr w14:val="tx1"/>
            </w14:solidFill>
          </w14:textFill>
        </w:rPr>
        <w:t>③工程咨询方是投资方建设项目投资决策总顾问，应组织实施好各项咨询任务。为投资方对建设项目做准备性调查研究，寻求有价值的投资机会，对项目的有关背景、投资条件、市场状况等进行初步调查研究和分析预测。</w:t>
      </w:r>
    </w:p>
    <w:p>
      <w:pPr>
        <w:numPr>
          <w:ilvl w:val="0"/>
          <w:numId w:val="0"/>
        </w:numPr>
        <w:spacing w:line="360" w:lineRule="auto"/>
        <w:ind w:firstLine="562"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2、收费标准：</w:t>
      </w:r>
      <w:r>
        <w:rPr>
          <w:rFonts w:hint="eastAsia" w:ascii="Times New Roman"/>
          <w:color w:val="000000" w:themeColor="text1"/>
          <w:sz w:val="28"/>
          <w:szCs w:val="28"/>
          <w:lang w:val="en-US" w:eastAsia="zh-CN"/>
          <w14:textFill>
            <w14:solidFill>
              <w14:schemeClr w14:val="tx1"/>
            </w14:solidFill>
          </w14:textFill>
        </w:rPr>
        <w:t>参考《财建[2016]504号》的建设管理费，全部建设管理费中包含：投资决策综合性管理（暂定15~20%）、勘察管理（暂定10~15%）、设计管理（暂定25~30%）、施工项目管理（暂定50~35%）比例分配，总计100%。</w:t>
      </w:r>
    </w:p>
    <w:tbl>
      <w:tblPr>
        <w:tblStyle w:val="5"/>
        <w:tblW w:w="10733" w:type="dxa"/>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50"/>
        <w:gridCol w:w="1333"/>
        <w:gridCol w:w="1600"/>
        <w:gridCol w:w="476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cs="宋体"/>
                <w:color w:val="000000" w:themeColor="text1"/>
                <w:spacing w:val="0"/>
                <w:w w:val="100"/>
                <w:position w:val="0"/>
                <w:sz w:val="28"/>
                <w:szCs w:val="28"/>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工程总</w:t>
            </w:r>
            <w:r>
              <w:rPr>
                <w:rFonts w:hint="eastAsia" w:ascii="宋体" w:hAnsi="宋体" w:cs="宋体"/>
                <w:color w:val="000000" w:themeColor="text1"/>
                <w:spacing w:val="0"/>
                <w:w w:val="100"/>
                <w:position w:val="0"/>
                <w:sz w:val="28"/>
                <w:szCs w:val="28"/>
                <w:lang w:eastAsia="zh-CN"/>
                <w14:textFill>
                  <w14:solidFill>
                    <w14:schemeClr w14:val="tx1"/>
                  </w14:solidFill>
                </w14:textFill>
              </w:rPr>
              <w:t>概算</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pacing w:val="0"/>
                <w:w w:val="100"/>
                <w:position w:val="0"/>
                <w:sz w:val="28"/>
                <w:szCs w:val="28"/>
                <w:lang w:eastAsia="zh-CN"/>
                <w14:textFill>
                  <w14:solidFill>
                    <w14:schemeClr w14:val="tx1"/>
                  </w14:solidFill>
                </w14:textFill>
              </w:rPr>
              <w:t>（万元）</w:t>
            </w:r>
          </w:p>
        </w:tc>
        <w:tc>
          <w:tcPr>
            <w:tcW w:w="1333"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费率（%）</w:t>
            </w:r>
          </w:p>
        </w:tc>
        <w:tc>
          <w:tcPr>
            <w:tcW w:w="6362" w:type="dxa"/>
            <w:gridSpan w:val="2"/>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算例</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pacing w:val="0"/>
                <w:w w:val="100"/>
                <w:position w:val="0"/>
                <w:sz w:val="28"/>
                <w:szCs w:val="28"/>
                <w:lang w:eastAsia="zh-CN"/>
                <w14:textFill>
                  <w14:solidFill>
                    <w14:schemeClr w14:val="tx1"/>
                  </w14:solidFill>
                </w14:textFill>
              </w:rPr>
            </w:pPr>
            <w:r>
              <w:rPr>
                <w:rFonts w:hint="eastAsia" w:ascii="宋体" w:hAnsi="宋体" w:cs="宋体"/>
                <w:color w:val="000000" w:themeColor="text1"/>
                <w:spacing w:val="0"/>
                <w:w w:val="100"/>
                <w:position w:val="0"/>
                <w:sz w:val="28"/>
                <w:szCs w:val="28"/>
                <w:lang w:eastAsia="zh-CN"/>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9" w:hRule="exact"/>
        </w:trPr>
        <w:tc>
          <w:tcPr>
            <w:tcW w:w="1850" w:type="dxa"/>
            <w:vMerge w:val="continue"/>
            <w:shd w:val="clear" w:color="auto" w:fill="FFFFFF"/>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333" w:type="dxa"/>
            <w:vMerge w:val="continue"/>
            <w:shd w:val="clear" w:color="auto" w:fill="FFFFFF"/>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工程总概算</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8"/>
                <w:szCs w:val="28"/>
                <w14:textFill>
                  <w14:solidFill>
                    <w14:schemeClr w14:val="tx1"/>
                  </w14:solidFill>
                </w14:textFill>
              </w:rPr>
              <w:t>项目建设管理费</w:t>
            </w:r>
            <w:r>
              <w:rPr>
                <w:rFonts w:hint="eastAsia" w:ascii="宋体" w:hAnsi="宋体" w:cs="宋体"/>
                <w:color w:val="000000" w:themeColor="text1"/>
                <w:spacing w:val="0"/>
                <w:w w:val="100"/>
                <w:position w:val="0"/>
                <w:sz w:val="28"/>
                <w:szCs w:val="28"/>
                <w:lang w:eastAsia="zh-CN"/>
                <w14:textFill>
                  <w14:solidFill>
                    <w14:schemeClr w14:val="tx1"/>
                  </w14:solidFill>
                </w14:textFill>
              </w:rPr>
              <w:t>（万元）</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8"/>
                <w:szCs w:val="28"/>
                <w14:textFill>
                  <w14:solidFill>
                    <w14:schemeClr w14:val="tx1"/>
                  </w14:solidFill>
                </w14:textFill>
              </w:rPr>
              <w:t>000以下</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0</w:t>
            </w:r>
            <w:r>
              <w:rPr>
                <w:rFonts w:hint="eastAsia" w:ascii="宋体" w:hAnsi="宋体" w:eastAsia="宋体" w:cs="宋体"/>
                <w:color w:val="000000" w:themeColor="text1"/>
                <w:spacing w:val="0"/>
                <w:w w:val="100"/>
                <w:position w:val="0"/>
                <w:sz w:val="28"/>
                <w:szCs w:val="28"/>
                <w14:textFill>
                  <w14:solidFill>
                    <w14:schemeClr w14:val="tx1"/>
                  </w14:solidFill>
                </w14:textFill>
              </w:rPr>
              <w:t>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14:textFill>
                  <w14:solidFill>
                    <w14:schemeClr w14:val="tx1"/>
                  </w14:solidFill>
                </w14:textFill>
              </w:rPr>
              <w:t>2% = 20</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pacing w:val="0"/>
                <w:w w:val="100"/>
                <w:position w:val="0"/>
                <w:sz w:val="28"/>
                <w:szCs w:val="28"/>
                <w:lang w:val="en-US" w:eastAsia="zh-CN"/>
                <w14:textFill>
                  <w14:solidFill>
                    <w14:schemeClr w14:val="tx1"/>
                  </w14:solidFill>
                </w14:textFill>
              </w:rPr>
            </w:pPr>
            <w:r>
              <w:rPr>
                <w:rFonts w:hint="eastAsia" w:ascii="Times New Roman" w:cs="Times New Roman"/>
                <w:color w:val="000000" w:themeColor="text1"/>
                <w:sz w:val="28"/>
                <w:szCs w:val="28"/>
                <w:lang w:val="en-US" w:eastAsia="zh-CN"/>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1001-5000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1.5</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5000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29+(5000-1000)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 xml:space="preserve">l.5% </w:t>
            </w:r>
            <w:r>
              <w:rPr>
                <w:rFonts w:hint="eastAsia" w:ascii="宋体" w:hAnsi="宋体" w:eastAsia="宋体" w:cs="宋体"/>
                <w:color w:val="000000" w:themeColor="text1"/>
                <w:spacing w:val="0"/>
                <w:w w:val="100"/>
                <w:position w:val="0"/>
                <w:sz w:val="28"/>
                <w:szCs w:val="28"/>
                <w14:textFill>
                  <w14:solidFill>
                    <w14:schemeClr w14:val="tx1"/>
                  </w14:solidFill>
                </w14:textFill>
              </w:rPr>
              <w:t>= 80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5001-10000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80+(10000-5000)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14:textFill>
                  <w14:solidFill>
                    <w14:schemeClr w14:val="tx1"/>
                  </w14:solidFill>
                </w14:textFill>
              </w:rPr>
              <w:t>1.2% = 140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1000</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1-50000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50000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140+(</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50000-10000)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14:textFill>
                  <w14:solidFill>
                    <w14:schemeClr w14:val="tx1"/>
                  </w14:solidFill>
                </w14:textFill>
              </w:rPr>
              <w:t>1% = 540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50001-100000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0.8</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540+(</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100000-50000)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 xml:space="preserve">0.8% </w:t>
            </w:r>
            <w:r>
              <w:rPr>
                <w:rFonts w:hint="eastAsia" w:ascii="宋体" w:hAnsi="宋体" w:eastAsia="宋体" w:cs="宋体"/>
                <w:color w:val="000000" w:themeColor="text1"/>
                <w:spacing w:val="0"/>
                <w:w w:val="100"/>
                <w:position w:val="0"/>
                <w:sz w:val="28"/>
                <w:szCs w:val="28"/>
                <w14:textFill>
                  <w14:solidFill>
                    <w14:schemeClr w14:val="tx1"/>
                  </w14:solidFill>
                </w14:textFill>
              </w:rPr>
              <w:t>= 940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9"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zh-CN" w:bidi="en-US"/>
                <w14:textFill>
                  <w14:solidFill>
                    <w14:schemeClr w14:val="tx1"/>
                  </w14:solidFill>
                </w14:textFill>
              </w:rPr>
              <w:t>100000以上</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0.4</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200000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940+(200000-100000)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 xml:space="preserve">0.4% </w:t>
            </w:r>
            <w:r>
              <w:rPr>
                <w:rFonts w:hint="eastAsia" w:ascii="宋体" w:hAnsi="宋体" w:eastAsia="宋体" w:cs="宋体"/>
                <w:color w:val="000000" w:themeColor="text1"/>
                <w:spacing w:val="0"/>
                <w:w w:val="100"/>
                <w:position w:val="0"/>
                <w:sz w:val="28"/>
                <w:szCs w:val="28"/>
                <w14:textFill>
                  <w14:solidFill>
                    <w14:schemeClr w14:val="tx1"/>
                  </w14:solidFill>
                </w14:textFill>
              </w:rPr>
              <w:t>= 1340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pPr>
          </w:p>
        </w:tc>
      </w:tr>
    </w:tbl>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p>
    <w:p>
      <w:pPr>
        <w:spacing w:line="360" w:lineRule="auto"/>
        <w:ind w:firstLine="562" w:firstLineChars="200"/>
        <w:rPr>
          <w:rFonts w:hint="eastAsia" w:ascii="Times New Roman"/>
          <w:b/>
          <w:bCs/>
          <w:color w:val="000000"/>
          <w:sz w:val="28"/>
          <w:szCs w:val="28"/>
          <w:lang w:val="en-US" w:eastAsia="zh-CN"/>
        </w:rPr>
      </w:pPr>
      <w:r>
        <w:rPr>
          <w:rFonts w:hint="eastAsia" w:ascii="Times New Roman"/>
          <w:b/>
          <w:bCs/>
          <w:color w:val="000000"/>
          <w:sz w:val="28"/>
          <w:szCs w:val="28"/>
          <w:lang w:val="en-US" w:eastAsia="zh-CN"/>
        </w:rPr>
        <w:t>（二）工程勘察管理</w:t>
      </w:r>
    </w:p>
    <w:p>
      <w:pPr>
        <w:spacing w:line="360" w:lineRule="auto"/>
        <w:ind w:firstLine="562" w:firstLineChars="200"/>
        <w:rPr>
          <w:rFonts w:hint="eastAsia" w:ascii="Times New Roman"/>
          <w:color w:val="000000"/>
          <w:sz w:val="28"/>
          <w:szCs w:val="28"/>
          <w:lang w:val="en-US" w:eastAsia="zh-CN"/>
        </w:rPr>
      </w:pPr>
      <w:r>
        <w:rPr>
          <w:rFonts w:hint="eastAsia" w:ascii="Times New Roman"/>
          <w:b/>
          <w:bCs/>
          <w:color w:val="000000"/>
          <w:sz w:val="28"/>
          <w:szCs w:val="28"/>
          <w:lang w:val="en-US" w:eastAsia="zh-CN"/>
        </w:rPr>
        <w:t>1、主要工作内容：</w:t>
      </w:r>
    </w:p>
    <w:p>
      <w:p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①工程咨询方应根据既有工程资料、工程勘察相关标准及拟建工程范围和设计需求，编制工程勘察任务书，并应报送委托方批准后方可提供给工程勘察设计单位。</w:t>
      </w:r>
    </w:p>
    <w:p>
      <w:p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②工程咨询方应检查勘察现场及室内试验主要岗位操作人员资格及所使用设备、仪器的计量检定情况。</w:t>
      </w:r>
    </w:p>
    <w:p>
      <w:p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③工程咨询方应检查工程勘察方案及勘察进度计划执行情况，督促勘察单位完成勘察合同约定的工作内容。对重要点位的勘察与测试宜进行现场检查。</w:t>
      </w:r>
    </w:p>
    <w:p>
      <w:p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④工程咨询方应审核工程勘察单位提交的勘察费用支付申请，签署审核意见后报送委托方。</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⑤工程咨询方应分析可能发生的工程勘察索赔原因，并应制定防范对策。工程勘察索赔事件发生后，应协调处理勘察延期、费用索赔等事宜。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⑥工程咨询方应审查工程勘察单位提交的勘察成果报告，并应向委托方提交勘察成果评估报告，同时应留存勘察成果资料及审查资料。</w:t>
      </w:r>
    </w:p>
    <w:p>
      <w:pPr>
        <w:numPr>
          <w:ilvl w:val="0"/>
          <w:numId w:val="0"/>
        </w:numPr>
        <w:spacing w:line="360" w:lineRule="auto"/>
        <w:ind w:firstLine="562" w:firstLineChars="200"/>
        <w:rPr>
          <w:rFonts w:hint="eastAsia" w:ascii="Times New Roman"/>
          <w:color w:val="000000"/>
          <w:sz w:val="28"/>
          <w:szCs w:val="28"/>
          <w:lang w:val="en-US" w:eastAsia="zh-CN"/>
        </w:rPr>
      </w:pPr>
      <w:r>
        <w:rPr>
          <w:rFonts w:hint="eastAsia" w:ascii="Times New Roman"/>
          <w:b/>
          <w:bCs/>
          <w:color w:val="000000"/>
          <w:sz w:val="28"/>
          <w:szCs w:val="28"/>
          <w:lang w:val="en-US" w:eastAsia="zh-CN"/>
        </w:rPr>
        <w:t>2、收费标准：</w:t>
      </w:r>
      <w:r>
        <w:rPr>
          <w:rFonts w:hint="eastAsia" w:ascii="Times New Roman"/>
          <w:color w:val="000000"/>
          <w:sz w:val="28"/>
          <w:szCs w:val="28"/>
          <w:lang w:val="en-US" w:eastAsia="zh-CN"/>
        </w:rPr>
        <w:t>参考《财建[2016]504号》的建设管理费，全部建设管理费中包含：投资决策综合性管理（暂定15~20%）、勘察管理（暂定10~15%）、设计管理（暂定25~30%）、施工项目管理（暂定50~35%）比例分配，总计100%。</w:t>
      </w:r>
    </w:p>
    <w:p>
      <w:pPr>
        <w:numPr>
          <w:ilvl w:val="0"/>
          <w:numId w:val="0"/>
        </w:numPr>
        <w:spacing w:line="360" w:lineRule="auto"/>
        <w:ind w:firstLine="560" w:firstLineChars="200"/>
        <w:rPr>
          <w:rFonts w:hint="eastAsia" w:ascii="Times New Roman"/>
          <w:color w:val="000000"/>
          <w:sz w:val="28"/>
          <w:szCs w:val="28"/>
          <w:lang w:val="en-US" w:eastAsia="zh-CN"/>
        </w:rPr>
      </w:pPr>
    </w:p>
    <w:p>
      <w:pPr>
        <w:numPr>
          <w:ilvl w:val="0"/>
          <w:numId w:val="0"/>
        </w:numPr>
        <w:spacing w:line="360" w:lineRule="auto"/>
        <w:ind w:firstLine="560" w:firstLineChars="200"/>
        <w:rPr>
          <w:rFonts w:hint="eastAsia" w:ascii="Times New Roman"/>
          <w:color w:val="000000"/>
          <w:sz w:val="28"/>
          <w:szCs w:val="28"/>
          <w:lang w:val="en-US" w:eastAsia="zh-CN"/>
        </w:rPr>
      </w:pPr>
    </w:p>
    <w:tbl>
      <w:tblPr>
        <w:tblStyle w:val="5"/>
        <w:tblW w:w="10733" w:type="dxa"/>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50"/>
        <w:gridCol w:w="1333"/>
        <w:gridCol w:w="1600"/>
        <w:gridCol w:w="476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工程总</w:t>
            </w:r>
            <w:r>
              <w:rPr>
                <w:rFonts w:hint="eastAsia" w:ascii="宋体" w:hAnsi="宋体" w:cs="宋体"/>
                <w:color w:val="000000"/>
                <w:spacing w:val="0"/>
                <w:w w:val="100"/>
                <w:position w:val="0"/>
                <w:sz w:val="28"/>
                <w:szCs w:val="28"/>
                <w:lang w:eastAsia="zh-CN"/>
              </w:rPr>
              <w:t>概算</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lang w:eastAsia="zh-CN"/>
              </w:rPr>
            </w:pPr>
            <w:r>
              <w:rPr>
                <w:rFonts w:hint="eastAsia" w:ascii="宋体" w:hAnsi="宋体" w:cs="宋体"/>
                <w:color w:val="000000"/>
                <w:spacing w:val="0"/>
                <w:w w:val="100"/>
                <w:position w:val="0"/>
                <w:sz w:val="28"/>
                <w:szCs w:val="28"/>
                <w:lang w:eastAsia="zh-CN"/>
              </w:rPr>
              <w:t>（万元）</w:t>
            </w:r>
          </w:p>
        </w:tc>
        <w:tc>
          <w:tcPr>
            <w:tcW w:w="1333"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费率（%）</w:t>
            </w:r>
          </w:p>
        </w:tc>
        <w:tc>
          <w:tcPr>
            <w:tcW w:w="6362" w:type="dxa"/>
            <w:gridSpan w:val="2"/>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算例</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eastAsia="zh-CN"/>
              </w:rPr>
            </w:pPr>
            <w:r>
              <w:rPr>
                <w:rFonts w:hint="eastAsia" w:ascii="宋体" w:hAnsi="宋体" w:cs="宋体"/>
                <w:color w:val="000000"/>
                <w:spacing w:val="0"/>
                <w:w w:val="100"/>
                <w:position w:val="0"/>
                <w:sz w:val="28"/>
                <w:szCs w:val="28"/>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9" w:hRule="exact"/>
        </w:trPr>
        <w:tc>
          <w:tcPr>
            <w:tcW w:w="1850" w:type="dxa"/>
            <w:vMerge w:val="continue"/>
            <w:shd w:val="clear" w:color="auto" w:fill="FFFFFF"/>
            <w:vAlign w:val="center"/>
          </w:tcPr>
          <w:p>
            <w:pPr>
              <w:rPr>
                <w:rFonts w:hint="eastAsia" w:ascii="宋体" w:hAnsi="宋体" w:eastAsia="宋体" w:cs="宋体"/>
                <w:sz w:val="28"/>
                <w:szCs w:val="28"/>
              </w:rPr>
            </w:pPr>
          </w:p>
        </w:tc>
        <w:tc>
          <w:tcPr>
            <w:tcW w:w="1333" w:type="dxa"/>
            <w:vMerge w:val="continue"/>
            <w:shd w:val="clear" w:color="auto" w:fill="FFFFFF"/>
            <w:vAlign w:val="center"/>
          </w:tcPr>
          <w:p>
            <w:pPr>
              <w:rPr>
                <w:rFonts w:hint="eastAsia" w:ascii="宋体" w:hAnsi="宋体" w:eastAsia="宋体" w:cs="宋体"/>
                <w:sz w:val="28"/>
                <w:szCs w:val="28"/>
              </w:rPr>
            </w:pP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工程总概算</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项目建设管理费</w:t>
            </w:r>
            <w:r>
              <w:rPr>
                <w:rFonts w:hint="eastAsia" w:ascii="宋体" w:hAnsi="宋体" w:cs="宋体"/>
                <w:color w:val="000000"/>
                <w:spacing w:val="0"/>
                <w:w w:val="100"/>
                <w:position w:val="0"/>
                <w:sz w:val="28"/>
                <w:szCs w:val="28"/>
                <w:lang w:eastAsia="zh-CN"/>
              </w:rPr>
              <w:t>（万元）</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000以下</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r>
              <w:rPr>
                <w:rFonts w:hint="eastAsia" w:ascii="宋体" w:hAnsi="宋体" w:eastAsia="宋体" w:cs="宋体"/>
                <w:color w:val="000000"/>
                <w:spacing w:val="0"/>
                <w:w w:val="100"/>
                <w:position w:val="0"/>
                <w:sz w:val="28"/>
                <w:szCs w:val="28"/>
                <w:lang w:val="en-US" w:eastAsia="zh-CN"/>
              </w:rPr>
              <w:t>0</w:t>
            </w:r>
            <w:r>
              <w:rPr>
                <w:rFonts w:hint="eastAsia" w:ascii="宋体" w:hAnsi="宋体" w:eastAsia="宋体" w:cs="宋体"/>
                <w:color w:val="000000"/>
                <w:spacing w:val="0"/>
                <w:w w:val="100"/>
                <w:position w:val="0"/>
                <w:sz w:val="28"/>
                <w:szCs w:val="28"/>
              </w:rPr>
              <w:t>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2% = 20</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spacing w:val="0"/>
                <w:w w:val="100"/>
                <w:position w:val="0"/>
                <w:sz w:val="28"/>
                <w:szCs w:val="28"/>
                <w:lang w:val="en-US" w:eastAsia="zh-CN"/>
              </w:rPr>
            </w:pPr>
            <w:r>
              <w:rPr>
                <w:rFonts w:hint="eastAsia" w:ascii="Times New Roman" w:cs="Times New Roman"/>
                <w:color w:val="000000"/>
                <w:sz w:val="28"/>
                <w:szCs w:val="28"/>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1001-5000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1.5</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29+(5000-1000)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l.5% </w:t>
            </w:r>
            <w:r>
              <w:rPr>
                <w:rFonts w:hint="eastAsia" w:ascii="宋体" w:hAnsi="宋体" w:eastAsia="宋体" w:cs="宋体"/>
                <w:color w:val="000000"/>
                <w:spacing w:val="0"/>
                <w:w w:val="100"/>
                <w:position w:val="0"/>
                <w:sz w:val="28"/>
                <w:szCs w:val="28"/>
              </w:rPr>
              <w:t>= 80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5001-10000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80+(10000-5000)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1.2% = 140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r>
              <w:rPr>
                <w:rFonts w:hint="eastAsia" w:ascii="宋体" w:hAnsi="宋体" w:eastAsia="宋体" w:cs="宋体"/>
                <w:color w:val="000000"/>
                <w:spacing w:val="0"/>
                <w:w w:val="100"/>
                <w:position w:val="0"/>
                <w:sz w:val="28"/>
                <w:szCs w:val="28"/>
                <w:lang w:val="en-US" w:eastAsia="en-US" w:bidi="en-US"/>
              </w:rPr>
              <w:t>1-50000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140+(</w:t>
            </w:r>
            <w:r>
              <w:rPr>
                <w:rFonts w:hint="eastAsia" w:ascii="宋体" w:hAnsi="宋体" w:eastAsia="宋体" w:cs="宋体"/>
                <w:color w:val="000000"/>
                <w:spacing w:val="0"/>
                <w:w w:val="100"/>
                <w:position w:val="0"/>
                <w:sz w:val="28"/>
                <w:szCs w:val="28"/>
                <w:lang w:val="en-US" w:eastAsia="en-US" w:bidi="en-US"/>
              </w:rPr>
              <w:t>50000-10000)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 = 540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50001-100000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0.8</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540+(</w:t>
            </w:r>
            <w:r>
              <w:rPr>
                <w:rFonts w:hint="eastAsia" w:ascii="宋体" w:hAnsi="宋体" w:eastAsia="宋体" w:cs="宋体"/>
                <w:color w:val="000000"/>
                <w:spacing w:val="0"/>
                <w:w w:val="100"/>
                <w:position w:val="0"/>
                <w:sz w:val="28"/>
                <w:szCs w:val="28"/>
                <w:lang w:val="en-US" w:eastAsia="en-US" w:bidi="en-US"/>
              </w:rPr>
              <w:t>100000-50000)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0.8% </w:t>
            </w:r>
            <w:r>
              <w:rPr>
                <w:rFonts w:hint="eastAsia" w:ascii="宋体" w:hAnsi="宋体" w:eastAsia="宋体" w:cs="宋体"/>
                <w:color w:val="000000"/>
                <w:spacing w:val="0"/>
                <w:w w:val="100"/>
                <w:position w:val="0"/>
                <w:sz w:val="28"/>
                <w:szCs w:val="28"/>
              </w:rPr>
              <w:t>= 940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9"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lang w:val="en-US" w:eastAsia="zh-CN" w:bidi="en-US"/>
              </w:rPr>
              <w:t>100000以上</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0.4</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940+(200000-100000)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0.4% </w:t>
            </w:r>
            <w:r>
              <w:rPr>
                <w:rFonts w:hint="eastAsia" w:ascii="宋体" w:hAnsi="宋体" w:eastAsia="宋体" w:cs="宋体"/>
                <w:color w:val="000000"/>
                <w:spacing w:val="0"/>
                <w:w w:val="100"/>
                <w:position w:val="0"/>
                <w:sz w:val="28"/>
                <w:szCs w:val="28"/>
              </w:rPr>
              <w:t>= 1340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bl>
    <w:p>
      <w:pPr>
        <w:pStyle w:val="10"/>
        <w:keepNext w:val="0"/>
        <w:keepLines w:val="0"/>
        <w:widowControl w:val="0"/>
        <w:shd w:val="clear" w:color="auto" w:fill="auto"/>
        <w:bidi w:val="0"/>
        <w:spacing w:before="0" w:after="0" w:line="240" w:lineRule="auto"/>
        <w:ind w:right="0"/>
        <w:jc w:val="left"/>
        <w:rPr>
          <w:rFonts w:hint="eastAsia" w:ascii="宋体" w:hAnsi="宋体" w:eastAsia="宋体" w:cs="宋体"/>
          <w:sz w:val="28"/>
          <w:szCs w:val="28"/>
        </w:rPr>
      </w:pPr>
      <w:r>
        <w:rPr>
          <w:rFonts w:hint="eastAsia" w:cs="宋体"/>
          <w:color w:val="000000"/>
          <w:spacing w:val="0"/>
          <w:w w:val="100"/>
          <w:position w:val="0"/>
          <w:sz w:val="28"/>
          <w:szCs w:val="28"/>
          <w:lang w:eastAsia="zh-CN"/>
        </w:rPr>
        <w:t>注：</w:t>
      </w:r>
      <w:r>
        <w:rPr>
          <w:rFonts w:hint="eastAsia" w:ascii="宋体" w:hAnsi="宋体" w:eastAsia="宋体" w:cs="宋体"/>
          <w:color w:val="000000"/>
          <w:spacing w:val="0"/>
          <w:w w:val="100"/>
          <w:position w:val="0"/>
          <w:sz w:val="28"/>
          <w:szCs w:val="28"/>
        </w:rPr>
        <w:t>计费基数扣除建设用地费和项目建设</w:t>
      </w:r>
      <w:r>
        <w:rPr>
          <w:rFonts w:hint="eastAsia" w:cs="宋体"/>
          <w:color w:val="000000"/>
          <w:spacing w:val="0"/>
          <w:w w:val="100"/>
          <w:position w:val="0"/>
          <w:sz w:val="28"/>
          <w:szCs w:val="28"/>
          <w:lang w:eastAsia="zh-CN"/>
        </w:rPr>
        <w:t>管理</w:t>
      </w:r>
      <w:r>
        <w:rPr>
          <w:rFonts w:hint="eastAsia" w:ascii="宋体" w:hAnsi="宋体" w:eastAsia="宋体" w:cs="宋体"/>
          <w:color w:val="000000"/>
          <w:spacing w:val="0"/>
          <w:w w:val="100"/>
          <w:position w:val="0"/>
          <w:sz w:val="28"/>
          <w:szCs w:val="28"/>
        </w:rPr>
        <w:t>费。</w:t>
      </w:r>
    </w:p>
    <w:p>
      <w:pPr>
        <w:numPr>
          <w:ilvl w:val="0"/>
          <w:numId w:val="0"/>
        </w:numPr>
        <w:tabs>
          <w:tab w:val="left" w:pos="312"/>
        </w:tabs>
        <w:spacing w:line="360" w:lineRule="auto"/>
        <w:ind w:firstLine="281" w:firstLineChars="100"/>
        <w:rPr>
          <w:rFonts w:hint="eastAsia" w:ascii="Times New Roman"/>
          <w:b/>
          <w:bCs/>
          <w:color w:val="000000"/>
          <w:sz w:val="28"/>
          <w:szCs w:val="28"/>
          <w:lang w:val="en-US" w:eastAsia="zh-CN"/>
        </w:rPr>
      </w:pPr>
    </w:p>
    <w:p>
      <w:pPr>
        <w:numPr>
          <w:ilvl w:val="0"/>
          <w:numId w:val="0"/>
        </w:numPr>
        <w:tabs>
          <w:tab w:val="left" w:pos="312"/>
        </w:tabs>
        <w:spacing w:line="360" w:lineRule="auto"/>
        <w:ind w:firstLine="281" w:firstLineChars="100"/>
        <w:rPr>
          <w:rFonts w:hint="eastAsia" w:ascii="Times New Roman"/>
          <w:b/>
          <w:bCs/>
          <w:color w:val="000000"/>
          <w:sz w:val="28"/>
          <w:szCs w:val="28"/>
          <w:lang w:val="en-US" w:eastAsia="zh-CN"/>
        </w:rPr>
      </w:pPr>
      <w:r>
        <w:rPr>
          <w:rFonts w:hint="eastAsia" w:ascii="Times New Roman"/>
          <w:b/>
          <w:bCs/>
          <w:color w:val="000000"/>
          <w:sz w:val="28"/>
          <w:szCs w:val="28"/>
          <w:lang w:val="en-US" w:eastAsia="zh-CN"/>
        </w:rPr>
        <w:t>（三）工程设计管理</w:t>
      </w:r>
    </w:p>
    <w:p>
      <w:pPr>
        <w:numPr>
          <w:ilvl w:val="0"/>
          <w:numId w:val="0"/>
        </w:numPr>
        <w:spacing w:line="360" w:lineRule="auto"/>
        <w:ind w:firstLine="562" w:firstLineChars="200"/>
        <w:rPr>
          <w:rFonts w:hint="eastAsia" w:ascii="Times New Roman"/>
          <w:b/>
          <w:bCs/>
          <w:color w:val="000000"/>
          <w:sz w:val="28"/>
          <w:szCs w:val="28"/>
          <w:lang w:val="en-US" w:eastAsia="zh-CN"/>
        </w:rPr>
      </w:pPr>
      <w:r>
        <w:rPr>
          <w:rFonts w:hint="eastAsia" w:ascii="Times New Roman"/>
          <w:b/>
          <w:bCs/>
          <w:color w:val="000000"/>
          <w:sz w:val="28"/>
          <w:szCs w:val="28"/>
          <w:lang w:val="en-US" w:eastAsia="zh-CN"/>
        </w:rPr>
        <w:t xml:space="preserve">1、主要工作内容： </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①工程咨询方应根据项目可行性研究报告、工程建设标准及拟建工程范围和委托方需求，编制工程设计任务书，并应报送委托方批准后方可提供给工程勘察设计单位。</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②需要通过设计方案竞赛优选设计方案及设计单位的，工程咨询方应协助委托方组织设计方案竞赛活动，并应参与设计合同谈判及签订工作。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③工程咨询方应检查各阶段工程设计进度计划执行情况，督促设计单位完成设计合同约定的工作内容，按计划时间提交相应设计成果。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④工程咨询方应审核工程设计单位提交的设计费用支付申请，签署审核意见后报送委托方。</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⑤工程咨询方应审查工程设计单位提交的各阶段设计成果质量，并可向工程设计单位提出设计方案优化建议。</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⑥工程咨询方应审查设计单位提交的设计概算、施工图预算，并应将审查意见报送委托方。</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⑦工程咨询方应分析可能发生的工程设计索赔原因，并应制定防范对策。工程设计索赔事件发生后，应协调处理设计延期、费用索赔等事宜。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⑧工程咨询方可协助委托方向政府有关部门报审工程设计文件，并应根据政府有关部门审批意见，敦促设计单位予以完善。</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⑨工程咨询方可协助委托方办理施工图设计文件审查事宜。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⑩工程咨询方应做好设计收尾管理及设计文件资料归档管理工作。</w:t>
      </w:r>
    </w:p>
    <w:p>
      <w:pPr>
        <w:numPr>
          <w:ilvl w:val="0"/>
          <w:numId w:val="0"/>
        </w:numPr>
        <w:spacing w:line="360" w:lineRule="auto"/>
        <w:ind w:firstLine="562" w:firstLineChars="200"/>
        <w:rPr>
          <w:rFonts w:hint="eastAsia" w:ascii="Times New Roman"/>
          <w:color w:val="000000"/>
          <w:sz w:val="28"/>
          <w:szCs w:val="28"/>
          <w:lang w:val="en-US" w:eastAsia="zh-CN"/>
        </w:rPr>
      </w:pPr>
      <w:r>
        <w:rPr>
          <w:rFonts w:hint="eastAsia" w:ascii="Times New Roman"/>
          <w:b/>
          <w:bCs/>
          <w:color w:val="000000"/>
          <w:sz w:val="28"/>
          <w:szCs w:val="28"/>
          <w:lang w:val="en-US" w:eastAsia="zh-CN"/>
        </w:rPr>
        <w:t>2、收费标准：</w:t>
      </w:r>
      <w:r>
        <w:rPr>
          <w:rFonts w:hint="eastAsia" w:ascii="Times New Roman"/>
          <w:color w:val="000000"/>
          <w:sz w:val="28"/>
          <w:szCs w:val="28"/>
          <w:lang w:val="en-US" w:eastAsia="zh-CN"/>
        </w:rPr>
        <w:t>参考《财建[2016]504号》的建设管理费，全部建设管理费中包含：投资决策综合性管理（暂定15~20%）、勘察管理（暂定10~15%）、设计管理（暂定25~30%）、施工项目管理（暂定50~35%）比例分配，总计100%。</w:t>
      </w:r>
    </w:p>
    <w:tbl>
      <w:tblPr>
        <w:tblStyle w:val="5"/>
        <w:tblW w:w="10733" w:type="dxa"/>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50"/>
        <w:gridCol w:w="1333"/>
        <w:gridCol w:w="1600"/>
        <w:gridCol w:w="476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工程总</w:t>
            </w:r>
            <w:r>
              <w:rPr>
                <w:rFonts w:hint="eastAsia" w:ascii="宋体" w:hAnsi="宋体" w:cs="宋体"/>
                <w:color w:val="000000"/>
                <w:spacing w:val="0"/>
                <w:w w:val="100"/>
                <w:position w:val="0"/>
                <w:sz w:val="28"/>
                <w:szCs w:val="28"/>
                <w:lang w:eastAsia="zh-CN"/>
              </w:rPr>
              <w:t>概算</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lang w:eastAsia="zh-CN"/>
              </w:rPr>
            </w:pPr>
            <w:r>
              <w:rPr>
                <w:rFonts w:hint="eastAsia" w:ascii="宋体" w:hAnsi="宋体" w:cs="宋体"/>
                <w:color w:val="000000"/>
                <w:spacing w:val="0"/>
                <w:w w:val="100"/>
                <w:position w:val="0"/>
                <w:sz w:val="28"/>
                <w:szCs w:val="28"/>
                <w:lang w:eastAsia="zh-CN"/>
              </w:rPr>
              <w:t>（万元）</w:t>
            </w:r>
          </w:p>
        </w:tc>
        <w:tc>
          <w:tcPr>
            <w:tcW w:w="1333"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费率（%）</w:t>
            </w:r>
          </w:p>
        </w:tc>
        <w:tc>
          <w:tcPr>
            <w:tcW w:w="6362" w:type="dxa"/>
            <w:gridSpan w:val="2"/>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算例</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eastAsia="zh-CN"/>
              </w:rPr>
            </w:pPr>
            <w:r>
              <w:rPr>
                <w:rFonts w:hint="eastAsia" w:ascii="宋体" w:hAnsi="宋体" w:cs="宋体"/>
                <w:color w:val="000000"/>
                <w:spacing w:val="0"/>
                <w:w w:val="100"/>
                <w:position w:val="0"/>
                <w:sz w:val="28"/>
                <w:szCs w:val="28"/>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9" w:hRule="exact"/>
        </w:trPr>
        <w:tc>
          <w:tcPr>
            <w:tcW w:w="1850" w:type="dxa"/>
            <w:vMerge w:val="continue"/>
            <w:shd w:val="clear" w:color="auto" w:fill="FFFFFF"/>
            <w:vAlign w:val="center"/>
          </w:tcPr>
          <w:p>
            <w:pPr>
              <w:rPr>
                <w:rFonts w:hint="eastAsia" w:ascii="宋体" w:hAnsi="宋体" w:eastAsia="宋体" w:cs="宋体"/>
                <w:sz w:val="28"/>
                <w:szCs w:val="28"/>
              </w:rPr>
            </w:pPr>
          </w:p>
        </w:tc>
        <w:tc>
          <w:tcPr>
            <w:tcW w:w="1333" w:type="dxa"/>
            <w:vMerge w:val="continue"/>
            <w:shd w:val="clear" w:color="auto" w:fill="FFFFFF"/>
            <w:vAlign w:val="center"/>
          </w:tcPr>
          <w:p>
            <w:pPr>
              <w:rPr>
                <w:rFonts w:hint="eastAsia" w:ascii="宋体" w:hAnsi="宋体" w:eastAsia="宋体" w:cs="宋体"/>
                <w:sz w:val="28"/>
                <w:szCs w:val="28"/>
              </w:rPr>
            </w:pP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工程总概算</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项目建设管理费</w:t>
            </w:r>
            <w:r>
              <w:rPr>
                <w:rFonts w:hint="eastAsia" w:ascii="宋体" w:hAnsi="宋体" w:cs="宋体"/>
                <w:color w:val="000000"/>
                <w:spacing w:val="0"/>
                <w:w w:val="100"/>
                <w:position w:val="0"/>
                <w:sz w:val="28"/>
                <w:szCs w:val="28"/>
                <w:lang w:eastAsia="zh-CN"/>
              </w:rPr>
              <w:t>（万元）</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000以下</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r>
              <w:rPr>
                <w:rFonts w:hint="eastAsia" w:ascii="宋体" w:hAnsi="宋体" w:eastAsia="宋体" w:cs="宋体"/>
                <w:color w:val="000000"/>
                <w:spacing w:val="0"/>
                <w:w w:val="100"/>
                <w:position w:val="0"/>
                <w:sz w:val="28"/>
                <w:szCs w:val="28"/>
                <w:lang w:val="en-US" w:eastAsia="zh-CN"/>
              </w:rPr>
              <w:t>0</w:t>
            </w:r>
            <w:r>
              <w:rPr>
                <w:rFonts w:hint="eastAsia" w:ascii="宋体" w:hAnsi="宋体" w:eastAsia="宋体" w:cs="宋体"/>
                <w:color w:val="000000"/>
                <w:spacing w:val="0"/>
                <w:w w:val="100"/>
                <w:position w:val="0"/>
                <w:sz w:val="28"/>
                <w:szCs w:val="28"/>
              </w:rPr>
              <w:t>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2% = 20</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spacing w:val="0"/>
                <w:w w:val="100"/>
                <w:position w:val="0"/>
                <w:sz w:val="28"/>
                <w:szCs w:val="28"/>
                <w:lang w:val="en-US" w:eastAsia="zh-CN"/>
              </w:rPr>
            </w:pPr>
            <w:r>
              <w:rPr>
                <w:rFonts w:hint="eastAsia" w:ascii="宋体" w:hAnsi="宋体" w:cs="宋体"/>
                <w:color w:val="000000"/>
                <w:spacing w:val="0"/>
                <w:w w:val="100"/>
                <w:position w:val="0"/>
                <w:sz w:val="28"/>
                <w:szCs w:val="28"/>
                <w:lang w:val="en-US" w:eastAsia="zh-CN"/>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1001-5000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1.5</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29+(5000-1000)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l.5% </w:t>
            </w:r>
            <w:r>
              <w:rPr>
                <w:rFonts w:hint="eastAsia" w:ascii="宋体" w:hAnsi="宋体" w:eastAsia="宋体" w:cs="宋体"/>
                <w:color w:val="000000"/>
                <w:spacing w:val="0"/>
                <w:w w:val="100"/>
                <w:position w:val="0"/>
                <w:sz w:val="28"/>
                <w:szCs w:val="28"/>
              </w:rPr>
              <w:t>= 80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5001-10000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80+(10000-5000)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1.2% = 140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r>
              <w:rPr>
                <w:rFonts w:hint="eastAsia" w:ascii="宋体" w:hAnsi="宋体" w:eastAsia="宋体" w:cs="宋体"/>
                <w:color w:val="000000"/>
                <w:spacing w:val="0"/>
                <w:w w:val="100"/>
                <w:position w:val="0"/>
                <w:sz w:val="28"/>
                <w:szCs w:val="28"/>
                <w:lang w:val="en-US" w:eastAsia="en-US" w:bidi="en-US"/>
              </w:rPr>
              <w:t>1-50000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140+(</w:t>
            </w:r>
            <w:r>
              <w:rPr>
                <w:rFonts w:hint="eastAsia" w:ascii="宋体" w:hAnsi="宋体" w:eastAsia="宋体" w:cs="宋体"/>
                <w:color w:val="000000"/>
                <w:spacing w:val="0"/>
                <w:w w:val="100"/>
                <w:position w:val="0"/>
                <w:sz w:val="28"/>
                <w:szCs w:val="28"/>
                <w:lang w:val="en-US" w:eastAsia="en-US" w:bidi="en-US"/>
              </w:rPr>
              <w:t>50000-10000)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 = 540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50001-100000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0.8</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540+(</w:t>
            </w:r>
            <w:r>
              <w:rPr>
                <w:rFonts w:hint="eastAsia" w:ascii="宋体" w:hAnsi="宋体" w:eastAsia="宋体" w:cs="宋体"/>
                <w:color w:val="000000"/>
                <w:spacing w:val="0"/>
                <w:w w:val="100"/>
                <w:position w:val="0"/>
                <w:sz w:val="28"/>
                <w:szCs w:val="28"/>
                <w:lang w:val="en-US" w:eastAsia="en-US" w:bidi="en-US"/>
              </w:rPr>
              <w:t>100000-50000)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0.8% </w:t>
            </w:r>
            <w:r>
              <w:rPr>
                <w:rFonts w:hint="eastAsia" w:ascii="宋体" w:hAnsi="宋体" w:eastAsia="宋体" w:cs="宋体"/>
                <w:color w:val="000000"/>
                <w:spacing w:val="0"/>
                <w:w w:val="100"/>
                <w:position w:val="0"/>
                <w:sz w:val="28"/>
                <w:szCs w:val="28"/>
              </w:rPr>
              <w:t>= 940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9"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lang w:val="en-US" w:eastAsia="zh-CN" w:bidi="en-US"/>
              </w:rPr>
              <w:t>100000以上</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0.4</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940+(200000-100000)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0.4% </w:t>
            </w:r>
            <w:r>
              <w:rPr>
                <w:rFonts w:hint="eastAsia" w:ascii="宋体" w:hAnsi="宋体" w:eastAsia="宋体" w:cs="宋体"/>
                <w:color w:val="000000"/>
                <w:spacing w:val="0"/>
                <w:w w:val="100"/>
                <w:position w:val="0"/>
                <w:sz w:val="28"/>
                <w:szCs w:val="28"/>
              </w:rPr>
              <w:t>= 1340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bl>
    <w:p>
      <w:pPr>
        <w:numPr>
          <w:ilvl w:val="0"/>
          <w:numId w:val="0"/>
        </w:numPr>
        <w:tabs>
          <w:tab w:val="left" w:pos="312"/>
        </w:tabs>
        <w:spacing w:line="360" w:lineRule="auto"/>
        <w:rPr>
          <w:rFonts w:hint="eastAsia" w:ascii="Times New Roman"/>
          <w:color w:val="000000"/>
          <w:sz w:val="28"/>
          <w:szCs w:val="28"/>
          <w:lang w:val="en-US" w:eastAsia="zh-CN"/>
        </w:rPr>
      </w:pPr>
      <w:r>
        <w:rPr>
          <w:rFonts w:hint="eastAsia" w:ascii="Times New Roman"/>
          <w:color w:val="000000"/>
          <w:sz w:val="28"/>
          <w:szCs w:val="28"/>
          <w:lang w:val="en-US" w:eastAsia="zh-CN"/>
        </w:rPr>
        <w:t>注：将招标代理管理和报建管理内容纳入工程设计管理此项。</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eastAsia="zh-CN"/>
        </w:rPr>
        <w:t>（四）施工项目管理服务</w:t>
      </w:r>
    </w:p>
    <w:p>
      <w:pPr>
        <w:overflowPunct w:val="0"/>
        <w:spacing w:line="360" w:lineRule="auto"/>
        <w:ind w:firstLine="562" w:firstLineChars="200"/>
        <w:rPr>
          <w:rFonts w:hint="eastAsia" w:ascii="宋体" w:hAnsi="宋体" w:cs="宋体"/>
          <w:b/>
          <w:bCs/>
          <w:color w:val="000000"/>
          <w:spacing w:val="0"/>
          <w:w w:val="100"/>
          <w:kern w:val="2"/>
          <w:position w:val="0"/>
          <w:sz w:val="28"/>
          <w:szCs w:val="28"/>
          <w:u w:val="none"/>
          <w:shd w:val="clear" w:color="auto" w:fill="auto"/>
          <w:lang w:val="zh-TW" w:eastAsia="zh-CN" w:bidi="zh-TW"/>
        </w:rPr>
      </w:pPr>
      <w:r>
        <w:rPr>
          <w:rFonts w:hint="eastAsia" w:ascii="宋体" w:hAnsi="宋体" w:cs="宋体"/>
          <w:b/>
          <w:bCs/>
          <w:color w:val="000000"/>
          <w:spacing w:val="0"/>
          <w:w w:val="100"/>
          <w:kern w:val="2"/>
          <w:position w:val="0"/>
          <w:sz w:val="28"/>
          <w:szCs w:val="28"/>
          <w:u w:val="none"/>
          <w:shd w:val="clear" w:color="auto" w:fill="auto"/>
          <w:lang w:val="en-US" w:eastAsia="zh-CN" w:bidi="zh-TW"/>
        </w:rPr>
        <w:t>1、</w:t>
      </w:r>
      <w:r>
        <w:rPr>
          <w:rFonts w:hint="eastAsia" w:ascii="宋体" w:hAnsi="宋体" w:cs="宋体"/>
          <w:b/>
          <w:bCs/>
          <w:color w:val="000000"/>
          <w:spacing w:val="0"/>
          <w:w w:val="100"/>
          <w:kern w:val="2"/>
          <w:position w:val="0"/>
          <w:sz w:val="28"/>
          <w:szCs w:val="28"/>
          <w:u w:val="none"/>
          <w:shd w:val="clear" w:color="auto" w:fill="auto"/>
          <w:lang w:val="zh-TW" w:eastAsia="zh-CN" w:bidi="zh-TW"/>
        </w:rPr>
        <w:t>主要工作内容：</w:t>
      </w:r>
    </w:p>
    <w:p>
      <w:pPr>
        <w:numPr>
          <w:ilvl w:val="0"/>
          <w:numId w:val="0"/>
        </w:numPr>
        <w:tabs>
          <w:tab w:val="left" w:pos="312"/>
        </w:tabs>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①根据项目建设全过程特点，进行建设项目管理策划，编制施工项目管理工作计划。施工项目管理工作计划由技术负责人审批后报送委托方。</w:t>
      </w:r>
    </w:p>
    <w:p>
      <w:pPr>
        <w:numPr>
          <w:ilvl w:val="0"/>
          <w:numId w:val="0"/>
        </w:numPr>
        <w:tabs>
          <w:tab w:val="left" w:pos="312"/>
        </w:tabs>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②施工项目管理包括：施工项目管理规划大纲、管理组织机构及人员安排、管理责任制度落实，进行合同管理、进度管理、质量管理、成本管理、安全生产管理、参建各方和各专业沟通协调管理、资源管理、风险管理、工程竣工管理和绩效评定管理等。</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③</w:t>
      </w:r>
      <w:r>
        <w:rPr>
          <w:rFonts w:hint="eastAsia" w:ascii="宋体" w:hAnsi="宋体" w:cs="宋体"/>
          <w:color w:val="000000"/>
          <w:spacing w:val="0"/>
          <w:w w:val="100"/>
          <w:kern w:val="2"/>
          <w:position w:val="0"/>
          <w:sz w:val="28"/>
          <w:szCs w:val="28"/>
          <w:u w:val="none"/>
          <w:shd w:val="clear" w:color="auto" w:fill="auto"/>
          <w:lang w:val="zh-TW" w:eastAsia="zh-TW" w:bidi="zh-TW"/>
        </w:rPr>
        <w:t>施工项目管理服务工作计划内容应包括：工程概况、施工项目管理服务总体思路、施工项目管理服务组织机构及人员安排、合同管理、信息管理、质量管理、安全生产管理、进度管理、投资管理、风</w:t>
      </w:r>
      <w:r>
        <w:rPr>
          <w:rFonts w:hint="eastAsia" w:ascii="宋体" w:hAnsi="宋体" w:eastAsia="宋体" w:cs="宋体"/>
          <w:color w:val="000000"/>
          <w:spacing w:val="0"/>
          <w:w w:val="100"/>
          <w:kern w:val="2"/>
          <w:position w:val="0"/>
          <w:sz w:val="28"/>
          <w:szCs w:val="28"/>
          <w:u w:val="none"/>
          <w:shd w:val="clear" w:color="auto" w:fill="auto"/>
          <w:lang w:val="zh-TW" w:eastAsia="zh-TW" w:bidi="zh-TW"/>
        </w:rPr>
        <w:t>险管理等。</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④</w:t>
      </w:r>
      <w:r>
        <w:rPr>
          <w:rFonts w:hint="eastAsia" w:ascii="宋体" w:hAnsi="宋体" w:eastAsia="宋体" w:cs="宋体"/>
          <w:color w:val="000000"/>
          <w:spacing w:val="0"/>
          <w:w w:val="100"/>
          <w:kern w:val="2"/>
          <w:position w:val="0"/>
          <w:sz w:val="28"/>
          <w:szCs w:val="28"/>
          <w:u w:val="none"/>
          <w:shd w:val="clear" w:color="auto" w:fill="auto"/>
          <w:lang w:val="zh-TW" w:eastAsia="zh-TW" w:bidi="zh-TW"/>
        </w:rPr>
        <w:t>施工项目管理服务应以合同管理为主线，信息管理为支撑，组织协调为手段，协助委托方管理工程项目目标，保证工程项目有序实施。</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⑤</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根据全过程工程咨询合同、施工合同要求和施工项目管理服务工作计划，编制项目总体进度计划及其分解计划、专业分包招标计划、委托方负责采购的材料设备进场计划等，并应采取有效措施分阶段进行落实。</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en-US" w:eastAsia="zh-CN" w:bidi="zh-TW"/>
        </w:rPr>
        <w:t xml:space="preserve"> </w:t>
      </w:r>
      <w:r>
        <w:rPr>
          <w:rFonts w:hint="eastAsia" w:ascii="宋体" w:hAnsi="宋体" w:cs="宋体"/>
          <w:color w:val="000000"/>
          <w:spacing w:val="0"/>
          <w:w w:val="100"/>
          <w:kern w:val="2"/>
          <w:position w:val="0"/>
          <w:sz w:val="28"/>
          <w:szCs w:val="28"/>
          <w:u w:val="none"/>
          <w:shd w:val="clear" w:color="auto" w:fill="auto"/>
          <w:lang w:val="zh-TW" w:eastAsia="zh-CN" w:bidi="zh-TW"/>
        </w:rPr>
        <w:t>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工程咨询方应建立完善的质量管理体系，并应协助委托方建立健全质量管理体系，督促工程参建各方主体落实质量管理人员、机构和制度，确保工程质量各方主体质量管理体系健全有效运行。</w:t>
      </w:r>
    </w:p>
    <w:p>
      <w:pPr>
        <w:overflowPunct w:val="0"/>
        <w:spacing w:line="360" w:lineRule="auto"/>
        <w:ind w:firstLine="560" w:firstLineChars="200"/>
        <w:rPr>
          <w:rFonts w:hint="eastAsia"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⑦</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工程咨询方应督促相关单位加强施工安全生产管理，并应协助委托方定期组织安全生产管理联合检查，监督施工单位安全文明措施费使用情况。</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⑧</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工程咨询方应督促施工单位按照施工合同要求编制和执行施工进度计划，并应监督施工单位对施工进度计划执行情况的定期检查和分析。</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⑨</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工程咨询方应编制资金使用计划，并应结合项目投资分解安排和总体进度计划协助委托方合理安排资金使用。</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en-US" w:eastAsia="zh-CN" w:bidi="zh-TW"/>
        </w:rPr>
        <w:t>⑩</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对于使用政府或国有资金的项目按规定需要进行审计的，工程咨询方可协助委托方协调工程审计单位全程介入，并应协助和配合工程审计单位的全过程审计工作。</w:t>
      </w:r>
    </w:p>
    <w:p>
      <w:pPr>
        <w:overflowPunct w:val="0"/>
        <w:spacing w:line="360" w:lineRule="auto"/>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Times New Roman"/>
          <w:color w:val="000000"/>
          <w:sz w:val="28"/>
          <w:szCs w:val="28"/>
          <w:lang w:val="en-US" w:eastAsia="zh-CN"/>
        </w:rPr>
        <w:t>　　⑪</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w:t>
      </w:r>
      <w:r>
        <w:rPr>
          <w:rFonts w:ascii="宋体" w:hAnsi="宋体" w:eastAsia="宋体" w:cs="宋体"/>
          <w:color w:val="000000"/>
          <w:spacing w:val="0"/>
          <w:w w:val="100"/>
          <w:kern w:val="2"/>
          <w:position w:val="0"/>
          <w:sz w:val="28"/>
          <w:szCs w:val="28"/>
          <w:u w:val="none"/>
          <w:shd w:val="clear" w:color="auto" w:fill="auto"/>
          <w:lang w:val="zh-TW" w:eastAsia="zh-TW" w:bidi="zh-TW"/>
        </w:rPr>
        <w:t>应</w:t>
      </w:r>
      <w:r>
        <w:rPr>
          <w:rFonts w:hint="eastAsia" w:ascii="宋体" w:hAnsi="宋体" w:eastAsia="宋体" w:cs="宋体"/>
          <w:color w:val="000000"/>
          <w:spacing w:val="0"/>
          <w:w w:val="100"/>
          <w:kern w:val="2"/>
          <w:position w:val="0"/>
          <w:sz w:val="28"/>
          <w:szCs w:val="28"/>
          <w:u w:val="none"/>
          <w:shd w:val="clear" w:color="auto" w:fill="auto"/>
          <w:lang w:val="zh-TW" w:eastAsia="zh-TW" w:bidi="zh-TW"/>
        </w:rPr>
        <w:t>根据施工合同</w:t>
      </w:r>
      <w:r>
        <w:rPr>
          <w:rFonts w:ascii="宋体" w:hAnsi="宋体" w:eastAsia="宋体" w:cs="宋体"/>
          <w:color w:val="000000"/>
          <w:spacing w:val="0"/>
          <w:w w:val="100"/>
          <w:kern w:val="2"/>
          <w:position w:val="0"/>
          <w:sz w:val="28"/>
          <w:szCs w:val="28"/>
          <w:u w:val="none"/>
          <w:shd w:val="clear" w:color="auto" w:fill="auto"/>
          <w:lang w:val="zh-TW" w:eastAsia="zh-TW" w:bidi="zh-TW"/>
        </w:rPr>
        <w:t>约定处理工程变更</w:t>
      </w:r>
      <w:r>
        <w:rPr>
          <w:rFonts w:hint="eastAsia" w:ascii="宋体" w:hAnsi="宋体" w:eastAsia="宋体" w:cs="宋体"/>
          <w:color w:val="000000"/>
          <w:spacing w:val="0"/>
          <w:w w:val="100"/>
          <w:kern w:val="2"/>
          <w:position w:val="0"/>
          <w:sz w:val="28"/>
          <w:szCs w:val="28"/>
          <w:u w:val="none"/>
          <w:shd w:val="clear" w:color="auto" w:fill="auto"/>
          <w:lang w:val="zh-TW" w:eastAsia="zh-TW" w:bidi="zh-TW"/>
        </w:rPr>
        <w:t>和</w:t>
      </w:r>
      <w:r>
        <w:rPr>
          <w:rFonts w:ascii="宋体" w:hAnsi="宋体" w:eastAsia="宋体" w:cs="宋体"/>
          <w:color w:val="000000"/>
          <w:spacing w:val="0"/>
          <w:w w:val="100"/>
          <w:kern w:val="2"/>
          <w:position w:val="0"/>
          <w:sz w:val="28"/>
          <w:szCs w:val="28"/>
          <w:u w:val="none"/>
          <w:shd w:val="clear" w:color="auto" w:fill="auto"/>
          <w:lang w:val="zh-TW" w:eastAsia="zh-TW" w:bidi="zh-TW"/>
        </w:rPr>
        <w:t>索赔</w:t>
      </w:r>
      <w:r>
        <w:rPr>
          <w:rFonts w:hint="eastAsia" w:ascii="宋体" w:hAnsi="宋体" w:eastAsia="宋体" w:cs="宋体"/>
          <w:color w:val="000000"/>
          <w:spacing w:val="0"/>
          <w:w w:val="100"/>
          <w:kern w:val="2"/>
          <w:position w:val="0"/>
          <w:sz w:val="28"/>
          <w:szCs w:val="28"/>
          <w:u w:val="none"/>
          <w:shd w:val="clear" w:color="auto" w:fill="auto"/>
          <w:lang w:val="zh-TW" w:eastAsia="zh-TW" w:bidi="zh-TW"/>
        </w:rPr>
        <w:t>事宜，并</w:t>
      </w:r>
      <w:r>
        <w:rPr>
          <w:rFonts w:ascii="宋体" w:hAnsi="宋体" w:eastAsia="宋体" w:cs="宋体"/>
          <w:color w:val="000000"/>
          <w:spacing w:val="0"/>
          <w:w w:val="100"/>
          <w:kern w:val="2"/>
          <w:position w:val="0"/>
          <w:sz w:val="28"/>
          <w:szCs w:val="28"/>
          <w:u w:val="none"/>
          <w:shd w:val="clear" w:color="auto" w:fill="auto"/>
          <w:lang w:val="zh-TW" w:eastAsia="zh-TW" w:bidi="zh-TW"/>
        </w:rPr>
        <w:t>应</w:t>
      </w:r>
      <w:r>
        <w:rPr>
          <w:rFonts w:hint="eastAsia" w:ascii="宋体" w:hAnsi="宋体" w:eastAsia="宋体" w:cs="宋体"/>
          <w:color w:val="000000"/>
          <w:spacing w:val="0"/>
          <w:w w:val="100"/>
          <w:kern w:val="2"/>
          <w:position w:val="0"/>
          <w:sz w:val="28"/>
          <w:szCs w:val="28"/>
          <w:u w:val="none"/>
          <w:shd w:val="clear" w:color="auto" w:fill="auto"/>
          <w:lang w:val="zh-TW" w:eastAsia="zh-TW" w:bidi="zh-TW"/>
        </w:rPr>
        <w:t>组织审查施工单位提交的竣工结算申请，还可协助委托方编制工程竣工决算。</w:t>
      </w:r>
    </w:p>
    <w:p>
      <w:pPr>
        <w:overflowPunct w:val="0"/>
        <w:spacing w:line="360" w:lineRule="auto"/>
        <w:ind w:firstLine="48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,12)</w:instrText>
      </w:r>
      <w:r>
        <w:rPr>
          <w:rFonts w:hint="eastAsia" w:ascii="Times New Roman" w:hAnsi="Calibri" w:eastAsia="宋体" w:cs="Times New Roman"/>
          <w:color w:val="000000"/>
          <w:kern w:val="2"/>
          <w:sz w:val="24"/>
          <w:szCs w:val="24"/>
          <w:lang w:val="en-US" w:eastAsia="zh-CN"/>
        </w:rPr>
        <w:fldChar w:fldCharType="end"/>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工程咨询方应协助委托方与施工单位签订工程质量保修合同，并督促施工单位履行工程质量保修合同。</w:t>
      </w:r>
    </w:p>
    <w:p>
      <w:pPr>
        <w:numPr>
          <w:ilvl w:val="0"/>
          <w:numId w:val="0"/>
        </w:numPr>
        <w:spacing w:line="360" w:lineRule="auto"/>
        <w:ind w:firstLine="562" w:firstLineChars="200"/>
        <w:rPr>
          <w:rFonts w:hint="eastAsia" w:ascii="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w:t>
      </w:r>
      <w:r>
        <w:rPr>
          <w:rFonts w:hint="eastAsia" w:ascii="Times New Roman"/>
          <w:color w:val="000000"/>
          <w:sz w:val="28"/>
          <w:szCs w:val="28"/>
          <w:lang w:val="en-US" w:eastAsia="zh-CN"/>
        </w:rPr>
        <w:t>财建[2016]504号</w:t>
      </w:r>
      <w:r>
        <w:rPr>
          <w:rFonts w:hint="eastAsia" w:ascii="Times New Roman" w:cs="Times New Roman"/>
          <w:color w:val="000000"/>
          <w:sz w:val="28"/>
          <w:szCs w:val="28"/>
          <w:lang w:val="en-US" w:eastAsia="zh-CN"/>
        </w:rPr>
        <w:t>》的建设管理费，</w:t>
      </w:r>
      <w:r>
        <w:rPr>
          <w:rFonts w:hint="eastAsia" w:ascii="Times New Roman"/>
          <w:color w:val="000000"/>
          <w:sz w:val="28"/>
          <w:szCs w:val="28"/>
          <w:lang w:val="en-US" w:eastAsia="zh-CN"/>
        </w:rPr>
        <w:t>投资决策综合性管理（暂定15~20%）、勘察管理（暂定10~15%）、设计管理（暂定25~30%）、施工项目管理（暂定50~35%）比例分配，总计100%。</w:t>
      </w:r>
    </w:p>
    <w:tbl>
      <w:tblPr>
        <w:tblStyle w:val="5"/>
        <w:tblW w:w="10733" w:type="dxa"/>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50"/>
        <w:gridCol w:w="1333"/>
        <w:gridCol w:w="1600"/>
        <w:gridCol w:w="476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exact"/>
        </w:trPr>
        <w:tc>
          <w:tcPr>
            <w:tcW w:w="1850"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工程总</w:t>
            </w:r>
            <w:r>
              <w:rPr>
                <w:rFonts w:hint="eastAsia" w:ascii="宋体" w:hAnsi="宋体" w:cs="宋体"/>
                <w:color w:val="000000"/>
                <w:spacing w:val="0"/>
                <w:w w:val="100"/>
                <w:position w:val="0"/>
                <w:sz w:val="28"/>
                <w:szCs w:val="28"/>
                <w:lang w:eastAsia="zh-CN"/>
              </w:rPr>
              <w:t>概算</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lang w:eastAsia="zh-CN"/>
              </w:rPr>
            </w:pPr>
            <w:r>
              <w:rPr>
                <w:rFonts w:hint="eastAsia" w:ascii="宋体" w:hAnsi="宋体" w:cs="宋体"/>
                <w:color w:val="000000"/>
                <w:spacing w:val="0"/>
                <w:w w:val="100"/>
                <w:position w:val="0"/>
                <w:sz w:val="28"/>
                <w:szCs w:val="28"/>
                <w:lang w:eastAsia="zh-CN"/>
              </w:rPr>
              <w:t>（万元）</w:t>
            </w:r>
          </w:p>
        </w:tc>
        <w:tc>
          <w:tcPr>
            <w:tcW w:w="1333"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费率（%）</w:t>
            </w:r>
          </w:p>
        </w:tc>
        <w:tc>
          <w:tcPr>
            <w:tcW w:w="6362" w:type="dxa"/>
            <w:gridSpan w:val="2"/>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算例</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eastAsia="zh-CN"/>
              </w:rPr>
            </w:pPr>
            <w:r>
              <w:rPr>
                <w:rFonts w:hint="eastAsia" w:ascii="宋体" w:hAnsi="宋体" w:cs="宋体"/>
                <w:color w:val="000000"/>
                <w:spacing w:val="0"/>
                <w:w w:val="100"/>
                <w:position w:val="0"/>
                <w:sz w:val="28"/>
                <w:szCs w:val="28"/>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2" w:hRule="exact"/>
        </w:trPr>
        <w:tc>
          <w:tcPr>
            <w:tcW w:w="1850" w:type="dxa"/>
            <w:vMerge w:val="continue"/>
            <w:shd w:val="clear" w:color="auto" w:fill="FFFFFF"/>
            <w:vAlign w:val="center"/>
          </w:tcPr>
          <w:p>
            <w:pPr>
              <w:rPr>
                <w:rFonts w:hint="eastAsia" w:ascii="宋体" w:hAnsi="宋体" w:eastAsia="宋体" w:cs="宋体"/>
                <w:sz w:val="28"/>
                <w:szCs w:val="28"/>
              </w:rPr>
            </w:pPr>
          </w:p>
        </w:tc>
        <w:tc>
          <w:tcPr>
            <w:tcW w:w="1333" w:type="dxa"/>
            <w:vMerge w:val="continue"/>
            <w:shd w:val="clear" w:color="auto" w:fill="FFFFFF"/>
            <w:vAlign w:val="center"/>
          </w:tcPr>
          <w:p>
            <w:pPr>
              <w:rPr>
                <w:rFonts w:hint="eastAsia" w:ascii="宋体" w:hAnsi="宋体" w:eastAsia="宋体" w:cs="宋体"/>
                <w:sz w:val="28"/>
                <w:szCs w:val="28"/>
              </w:rPr>
            </w:pP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工程总概算</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项目建设管理费</w:t>
            </w:r>
            <w:r>
              <w:rPr>
                <w:rFonts w:hint="eastAsia" w:ascii="宋体" w:hAnsi="宋体" w:cs="宋体"/>
                <w:color w:val="000000"/>
                <w:spacing w:val="0"/>
                <w:w w:val="100"/>
                <w:position w:val="0"/>
                <w:sz w:val="28"/>
                <w:szCs w:val="28"/>
                <w:lang w:eastAsia="zh-CN"/>
              </w:rPr>
              <w:t>（万元）</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000以下</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r>
              <w:rPr>
                <w:rFonts w:hint="eastAsia" w:ascii="宋体" w:hAnsi="宋体" w:eastAsia="宋体" w:cs="宋体"/>
                <w:color w:val="000000"/>
                <w:spacing w:val="0"/>
                <w:w w:val="100"/>
                <w:position w:val="0"/>
                <w:sz w:val="28"/>
                <w:szCs w:val="28"/>
                <w:lang w:val="en-US" w:eastAsia="zh-CN"/>
              </w:rPr>
              <w:t>0</w:t>
            </w:r>
            <w:r>
              <w:rPr>
                <w:rFonts w:hint="eastAsia" w:ascii="宋体" w:hAnsi="宋体" w:eastAsia="宋体" w:cs="宋体"/>
                <w:color w:val="000000"/>
                <w:spacing w:val="0"/>
                <w:w w:val="100"/>
                <w:position w:val="0"/>
                <w:sz w:val="28"/>
                <w:szCs w:val="28"/>
              </w:rPr>
              <w:t>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2% = 20</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spacing w:val="0"/>
                <w:w w:val="100"/>
                <w:position w:val="0"/>
                <w:sz w:val="28"/>
                <w:szCs w:val="28"/>
                <w:lang w:val="en-US" w:eastAsia="zh-CN"/>
              </w:rPr>
            </w:pPr>
            <w:r>
              <w:rPr>
                <w:rFonts w:hint="eastAsia" w:ascii="宋体" w:hAnsi="宋体" w:cs="宋体"/>
                <w:color w:val="000000"/>
                <w:spacing w:val="0"/>
                <w:w w:val="100"/>
                <w:position w:val="0"/>
                <w:sz w:val="28"/>
                <w:szCs w:val="28"/>
                <w:lang w:val="en-US" w:eastAsia="zh-CN"/>
              </w:rPr>
              <w:t>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1001-5000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1.5</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29+(5000-1000)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l.5% </w:t>
            </w:r>
            <w:r>
              <w:rPr>
                <w:rFonts w:hint="eastAsia" w:ascii="宋体" w:hAnsi="宋体" w:eastAsia="宋体" w:cs="宋体"/>
                <w:color w:val="000000"/>
                <w:spacing w:val="0"/>
                <w:w w:val="100"/>
                <w:position w:val="0"/>
                <w:sz w:val="28"/>
                <w:szCs w:val="28"/>
              </w:rPr>
              <w:t>= 80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5001-10000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80+(10000-5000)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1.2% = 140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r>
              <w:rPr>
                <w:rFonts w:hint="eastAsia" w:ascii="宋体" w:hAnsi="宋体" w:eastAsia="宋体" w:cs="宋体"/>
                <w:color w:val="000000"/>
                <w:spacing w:val="0"/>
                <w:w w:val="100"/>
                <w:position w:val="0"/>
                <w:sz w:val="28"/>
                <w:szCs w:val="28"/>
                <w:lang w:val="en-US" w:eastAsia="en-US" w:bidi="en-US"/>
              </w:rPr>
              <w:t>1-50000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140+(</w:t>
            </w:r>
            <w:r>
              <w:rPr>
                <w:rFonts w:hint="eastAsia" w:ascii="宋体" w:hAnsi="宋体" w:eastAsia="宋体" w:cs="宋体"/>
                <w:color w:val="000000"/>
                <w:spacing w:val="0"/>
                <w:w w:val="100"/>
                <w:position w:val="0"/>
                <w:sz w:val="28"/>
                <w:szCs w:val="28"/>
                <w:lang w:val="en-US" w:eastAsia="en-US" w:bidi="en-US"/>
              </w:rPr>
              <w:t>50000-10000)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 = 540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50001-100000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0.8</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540+(</w:t>
            </w:r>
            <w:r>
              <w:rPr>
                <w:rFonts w:hint="eastAsia" w:ascii="宋体" w:hAnsi="宋体" w:eastAsia="宋体" w:cs="宋体"/>
                <w:color w:val="000000"/>
                <w:spacing w:val="0"/>
                <w:w w:val="100"/>
                <w:position w:val="0"/>
                <w:sz w:val="28"/>
                <w:szCs w:val="28"/>
                <w:lang w:val="en-US" w:eastAsia="en-US" w:bidi="en-US"/>
              </w:rPr>
              <w:t>100000-50000)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0.8% </w:t>
            </w:r>
            <w:r>
              <w:rPr>
                <w:rFonts w:hint="eastAsia" w:ascii="宋体" w:hAnsi="宋体" w:eastAsia="宋体" w:cs="宋体"/>
                <w:color w:val="000000"/>
                <w:spacing w:val="0"/>
                <w:w w:val="100"/>
                <w:position w:val="0"/>
                <w:sz w:val="28"/>
                <w:szCs w:val="28"/>
              </w:rPr>
              <w:t>= 940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lang w:val="en-US" w:eastAsia="zh-CN" w:bidi="en-US"/>
              </w:rPr>
              <w:t>100000以上</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0.4</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940+(200000-100000)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0.4% </w:t>
            </w:r>
            <w:r>
              <w:rPr>
                <w:rFonts w:hint="eastAsia" w:ascii="宋体" w:hAnsi="宋体" w:eastAsia="宋体" w:cs="宋体"/>
                <w:color w:val="000000"/>
                <w:spacing w:val="0"/>
                <w:w w:val="100"/>
                <w:position w:val="0"/>
                <w:sz w:val="28"/>
                <w:szCs w:val="28"/>
              </w:rPr>
              <w:t>= 1340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bl>
    <w:p>
      <w:pPr>
        <w:numPr>
          <w:ilvl w:val="0"/>
          <w:numId w:val="0"/>
        </w:numPr>
        <w:tabs>
          <w:tab w:val="left" w:pos="312"/>
        </w:tabs>
        <w:spacing w:line="360" w:lineRule="auto"/>
        <w:rPr>
          <w:rFonts w:hint="eastAsia" w:ascii="Times New Roman"/>
          <w:color w:val="000000"/>
          <w:sz w:val="28"/>
          <w:szCs w:val="28"/>
          <w:lang w:val="en-US" w:eastAsia="zh-CN"/>
        </w:rPr>
      </w:pPr>
      <w:r>
        <w:rPr>
          <w:rFonts w:hint="eastAsia" w:ascii="Times New Roman"/>
          <w:color w:val="000000"/>
          <w:sz w:val="28"/>
          <w:szCs w:val="28"/>
          <w:lang w:val="en-US" w:eastAsia="zh-CN"/>
        </w:rPr>
        <w:t>注：将造价管理内容纳入施工项目管理服务此项。</w:t>
      </w:r>
    </w:p>
    <w:p>
      <w:pPr>
        <w:spacing w:line="360" w:lineRule="auto"/>
        <w:ind w:firstLine="602" w:firstLineChars="200"/>
        <w:rPr>
          <w:rFonts w:hint="eastAsia" w:ascii="Times New Roman"/>
          <w:b/>
          <w:bCs/>
          <w:color w:val="000000" w:themeColor="text1"/>
          <w:sz w:val="30"/>
          <w:szCs w:val="30"/>
          <w:lang w:eastAsia="zh-CN"/>
          <w14:textFill>
            <w14:solidFill>
              <w14:schemeClr w14:val="tx1"/>
            </w14:solidFill>
          </w14:textFill>
        </w:rPr>
      </w:pPr>
      <w:r>
        <w:rPr>
          <w:rFonts w:hint="eastAsia" w:ascii="Times New Roman"/>
          <w:b/>
          <w:bCs/>
          <w:color w:val="000000" w:themeColor="text1"/>
          <w:sz w:val="30"/>
          <w:szCs w:val="30"/>
          <w:lang w:eastAsia="zh-CN"/>
          <w14:textFill>
            <w14:solidFill>
              <w14:schemeClr w14:val="tx1"/>
            </w14:solidFill>
          </w14:textFill>
        </w:rPr>
        <w:t>二、投资决策阶段技术</w:t>
      </w:r>
      <w:r>
        <w:rPr>
          <w:rFonts w:hint="eastAsia" w:ascii="Times New Roman"/>
          <w:b/>
          <w:bCs/>
          <w:color w:val="000000" w:themeColor="text1"/>
          <w:sz w:val="30"/>
          <w:szCs w:val="30"/>
          <w:lang w:val="en-US" w:eastAsia="zh-CN"/>
          <w14:textFill>
            <w14:solidFill>
              <w14:schemeClr w14:val="tx1"/>
            </w14:solidFill>
          </w14:textFill>
        </w:rPr>
        <w:t>咨询</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（一）投资策划咨询</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①工程咨询方根据投资方的委托，结合项目所在地规划、产业政策、投资条件、市场状况等开展投资策划咨询，提供投资机会研究成果。</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②投资机会研究是进行可行性研究前的准备性调查研究，通过对政治、环境的分析来寻找投资机会、识别投资方向、选定投资项目，作为投资方内部决策使用。</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③工程咨询方结合投资方委托情况，开展一般机会研究和特定项目机会研究。一般机会研究又可分为地区机会研究、行业机会研究等。特定项目机会研究是针对具体投资项目开展的机会研究。</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（二）可行性研究</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①可行性研究是投资决策综合性咨询服务的核心内容。工程咨询方根据投资方的委托，分析论述影响项目落地、实施、运营的各项因素，支撑投资方内部决策。</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②可行性研究内容和深度应达到可行性研究报告、建设条件单项咨询相应的规定要求，必须满足决策者“定方案”</w:t>
      </w:r>
      <w:r>
        <w:rPr>
          <w:rFonts w:hint="eastAsia" w:ascii="Times New Roman" w:cs="Times New Roman"/>
          <w:color w:val="000000" w:themeColor="text1"/>
          <w:kern w:val="2"/>
          <w:sz w:val="28"/>
          <w:szCs w:val="28"/>
          <w:lang w:val="en-US" w:eastAsia="zh-CN"/>
          <w14:textFill>
            <w14:solidFill>
              <w14:schemeClr w14:val="tx1"/>
            </w14:solidFill>
          </w14:textFill>
        </w:rPr>
        <w:t>、</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定项目”的要求。鼓励将国家法律法规、行政审批中要求的可行性研究报告报批前必须完成的建设条件单项咨询纳入可行性研究统筹论证。鼓励将开工前必须完成的其他建设条件单项咨询主要内容纳入可行性研究统筹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在可行性研究的基础上，工程咨询方按照建设项目分类管理要求编制形成相应申报材料。政府投资项目应按照规定要求，编制形成项目建议书、可行性研究报告、初步设计等。企业投资项目应按照规定要求和投资方需求，编制形成项目申请报告、资金申请报告等。工程咨询方也可以根据投资方的要求承担咨询评估任务，提出咨询评估意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zh-TW" w:eastAsia="zh-TW"/>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④</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项目建议书是政府投资项目立项的重要依据，主要论证项目建设的必要性，并对主要建设内容、拟建地点、拟建规模、投资匡算、资金筹措以及社会效益和经济效益等进行初步分析，并附相关文件资料。项目建议书的编制格式、内容和深度应达到规定要求。</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⑤</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可行性研究报告是政府投资项目审批决策的重要依据，重点分析项目的技术经济可行性、社会效益以及项目资金等主要建设条件的落实情况，应提供多种建设方案比选，提出项目建设必要性、可行性和合理性的研究结论。可行性研究报告的编制格式、内容和深度应达到规定要求。</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宋体" w:hAnsi="宋体" w:cs="宋体"/>
          <w:color w:val="000000" w:themeColor="text1"/>
          <w:spacing w:val="0"/>
          <w:w w:val="100"/>
          <w:kern w:val="2"/>
          <w:position w:val="0"/>
          <w:sz w:val="28"/>
          <w:szCs w:val="28"/>
          <w:u w:val="none"/>
          <w:shd w:val="clear" w:color="auto" w:fill="auto"/>
          <w:lang w:val="en-US" w:eastAsia="zh-CN" w:bidi="zh-TW"/>
          <w14:textFill>
            <w14:solidFill>
              <w14:schemeClr w14:val="tx1"/>
            </w14:solidFill>
          </w14:textFill>
        </w:rPr>
        <w:t xml:space="preserve"> </w:t>
      </w: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⑥</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项目申请报告是企业投资项目核准的重要依据，主要分析项目外部性、公共性影响，重点针对规划和政策符合性、资源环境和节能、用地和征地拆迁、经济和社会影响等方面深入分析，并附相关文件资料。项目申请报告编制格式、内容和深度应当达到规定要求。</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⑦</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资金申请报告是申请政府专项资金支持的重要依据，主要阐述资金申请的必要性和合理性，重点就建设条件落实情况，项目列入三年滚动投资计划并通过在线平台完成审批（核准、备案）情况，以及申请投资补助或者贴息资金的主要理由和政策依据等方面进行深入分析，并附相关文件资料。资金申请报告编制格式、内容和深度应当达到规定要求。</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zh-TW" w:eastAsia="zh-TW"/>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⑧</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工程咨询方应当协助投资方，将编制形成的申报材料按照投资管理权限和规定的程序，报投资主管部门或者其他有关部门审批、核准或备案。除涉及国家秘密的项目外，应按照规定要求通过投资项目在线审批监管平台生成的项目代码进行申报。</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zh-TW" w:eastAsia="zh-TW"/>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⑨</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纳入可行性研究的相关建设条件单项咨询，鼓励以可行性研究报告进行报批，也可以提交单项申报材料进行报批。单独开展的单项咨询结论应当与可行性研究报告相关内容保持一致。</w:t>
      </w:r>
    </w:p>
    <w:p>
      <w:pPr>
        <w:spacing w:line="360" w:lineRule="auto"/>
        <w:ind w:firstLine="562" w:firstLineChars="200"/>
        <w:rPr>
          <w:rFonts w:hint="eastAsia" w:ascii="Times New Roman" w:cs="Times New Roman"/>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w:t>
      </w:r>
      <w:r>
        <w:rPr>
          <w:rFonts w:hint="eastAsia" w:ascii="Times New Roman" w:cs="Times New Roman"/>
          <w:color w:val="000000" w:themeColor="text1"/>
          <w:sz w:val="28"/>
          <w:szCs w:val="28"/>
          <w:lang w:val="en-US" w:eastAsia="zh-CN"/>
          <w14:textFill>
            <w14:solidFill>
              <w14:schemeClr w14:val="tx1"/>
            </w14:solidFill>
          </w14:textFill>
        </w:rPr>
        <w:t>参考《桂建标〔2018〕37号》的可行性研究报告的编制和评估收费标准。</w:t>
      </w:r>
    </w:p>
    <w:tbl>
      <w:tblPr>
        <w:tblStyle w:val="5"/>
        <w:tblW w:w="11534" w:type="dxa"/>
        <w:tblInd w:w="-1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50"/>
        <w:gridCol w:w="1284"/>
        <w:gridCol w:w="1266"/>
        <w:gridCol w:w="1317"/>
        <w:gridCol w:w="1350"/>
        <w:gridCol w:w="1300"/>
        <w:gridCol w:w="1133"/>
        <w:gridCol w:w="126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4"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500万元以下</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500万元-1000万元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1000万元-3000万元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3000万元-1亿元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1亿元-5亿元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5亿元-10亿元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10亿元-50亿元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4"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编制可研报告</w:t>
            </w: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1.6-3.2万元</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3.2-4.8万元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4.8-9.6万元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9.6-22.4万元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22.4-60万元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60-88万元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88-160万元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160-200万元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8"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评估可研报告</w:t>
            </w: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0.8-1.2万元</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1.2-2.0万元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2.0-4.0万元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4.0-8.0万元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8-12万元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12-16万元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16-20万元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20-28万元</w:t>
            </w:r>
          </w:p>
        </w:tc>
      </w:tr>
    </w:tbl>
    <w:p>
      <w:pPr>
        <w:spacing w:line="360" w:lineRule="auto"/>
        <w:ind w:firstLine="560" w:firstLineChars="200"/>
        <w:rPr>
          <w:rFonts w:hint="eastAsia" w:ascii="Times New Roman" w:cs="Times New Roman"/>
          <w:color w:val="000000" w:themeColor="text1"/>
          <w:sz w:val="28"/>
          <w:szCs w:val="28"/>
          <w:lang w:val="en-US" w:eastAsia="zh-CN"/>
          <w14:textFill>
            <w14:solidFill>
              <w14:schemeClr w14:val="tx1"/>
            </w14:solidFill>
          </w14:textFill>
        </w:rPr>
      </w:pPr>
    </w:p>
    <w:p>
      <w:pPr>
        <w:spacing w:line="360" w:lineRule="auto"/>
        <w:ind w:firstLine="602" w:firstLineChars="200"/>
        <w:rPr>
          <w:rFonts w:hint="eastAsia" w:ascii="Times New Roman"/>
          <w:b/>
          <w:bCs/>
          <w:color w:val="000000" w:themeColor="text1"/>
          <w:sz w:val="30"/>
          <w:szCs w:val="30"/>
          <w:lang w:eastAsia="zh-CN"/>
          <w14:textFill>
            <w14:solidFill>
              <w14:schemeClr w14:val="tx1"/>
            </w14:solidFill>
          </w14:textFill>
        </w:rPr>
      </w:pPr>
      <w:r>
        <w:rPr>
          <w:rFonts w:hint="eastAsia" w:ascii="Times New Roman"/>
          <w:b/>
          <w:bCs/>
          <w:color w:val="000000" w:themeColor="text1"/>
          <w:sz w:val="30"/>
          <w:szCs w:val="30"/>
          <w:lang w:eastAsia="zh-CN"/>
          <w14:textFill>
            <w14:solidFill>
              <w14:schemeClr w14:val="tx1"/>
            </w14:solidFill>
          </w14:textFill>
        </w:rPr>
        <w:t>三、</w:t>
      </w:r>
      <w:r>
        <w:rPr>
          <w:rFonts w:hint="default" w:ascii="Times New Roman"/>
          <w:b/>
          <w:bCs/>
          <w:color w:val="000000" w:themeColor="text1"/>
          <w:sz w:val="30"/>
          <w:szCs w:val="30"/>
          <w:lang w:eastAsia="zh-CN"/>
          <w14:textFill>
            <w14:solidFill>
              <w14:schemeClr w14:val="tx1"/>
            </w14:solidFill>
          </w14:textFill>
        </w:rPr>
        <w:t>建设条件单项咨询</w:t>
      </w:r>
    </w:p>
    <w:p>
      <w:pPr>
        <w:spacing w:line="360" w:lineRule="auto"/>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　　（一）建设项目选址论证</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①工程咨询方应当依据土地管理等相关法律法规的规定，全面掌握国家供地政策、项目所在地的土地利用规划、土地使用标准、拟选地点状况等，开展建设项目选址论证。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②建设项目选址论证主要内容包括项目的基本情况、选址占地情况、用地是否符合土地利用总体规划、用地面积是否符合土地使用标准、用地是否符合供地政策等。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③工程咨询方应当根据建设项目选址论证结论，形成建设项目用地预审和选址意见书的申报材料，协助投资方向有权限的自然资源主管部门报批。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2、收费标准：根据市场调查，甲乙方双方可参照商定。</w:t>
      </w:r>
    </w:p>
    <w:p>
      <w:pPr>
        <w:spacing w:line="360" w:lineRule="auto"/>
        <w:rPr>
          <w:rFonts w:hint="eastAsia" w:ascii="Times New Roman" w:cs="Times New Roman"/>
          <w:b/>
          <w:bCs/>
          <w:color w:val="FF0000"/>
          <w:sz w:val="28"/>
          <w:szCs w:val="28"/>
          <w:lang w:val="en-US" w:eastAsia="zh-CN"/>
        </w:rPr>
      </w:pPr>
      <w:r>
        <w:rPr>
          <w:color w:val="FF0000"/>
        </w:rPr>
        <w:drawing>
          <wp:inline distT="0" distB="0" distL="114300" distR="114300">
            <wp:extent cx="5273675" cy="2964815"/>
            <wp:effectExtent l="0" t="0" r="317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73675" cy="2964815"/>
                    </a:xfrm>
                    <a:prstGeom prst="rect">
                      <a:avLst/>
                    </a:prstGeom>
                    <a:noFill/>
                    <a:ln>
                      <a:noFill/>
                    </a:ln>
                  </pic:spPr>
                </pic:pic>
              </a:graphicData>
            </a:graphic>
          </wp:inline>
        </w:drawing>
      </w:r>
      <w:r>
        <w:rPr>
          <w:color w:val="FF0000"/>
        </w:rPr>
        <w:drawing>
          <wp:inline distT="0" distB="0" distL="114300" distR="114300">
            <wp:extent cx="5268595" cy="3643630"/>
            <wp:effectExtent l="0" t="0" r="8255"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8595" cy="3643630"/>
                    </a:xfrm>
                    <a:prstGeom prst="rect">
                      <a:avLst/>
                    </a:prstGeom>
                    <a:noFill/>
                    <a:ln>
                      <a:noFill/>
                    </a:ln>
                  </pic:spPr>
                </pic:pic>
              </a:graphicData>
            </a:graphic>
          </wp:inline>
        </w:drawing>
      </w:r>
    </w:p>
    <w:p>
      <w:pPr>
        <w:spacing w:line="360" w:lineRule="auto"/>
        <w:ind w:firstLine="562" w:firstLineChars="200"/>
        <w:rPr>
          <w:rFonts w:hint="eastAsia" w:ascii="Times New Roman"/>
          <w:b/>
          <w:bCs/>
          <w:color w:val="FF0000"/>
          <w:sz w:val="28"/>
          <w:szCs w:val="28"/>
          <w:lang w:val="en-US" w:eastAsia="zh-CN"/>
        </w:rPr>
      </w:pP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（二）</w:t>
      </w:r>
      <w:r>
        <w:rPr>
          <w:rFonts w:hint="default" w:ascii="Times New Roman"/>
          <w:b/>
          <w:bCs/>
          <w:color w:val="000000" w:themeColor="text1"/>
          <w:sz w:val="28"/>
          <w:szCs w:val="28"/>
          <w:lang w:val="en-US" w:eastAsia="zh-CN"/>
          <w14:textFill>
            <w14:solidFill>
              <w14:schemeClr w14:val="tx1"/>
            </w14:solidFill>
          </w14:textFill>
        </w:rPr>
        <w:t>建设项目压覆重要矿产资源评估</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①工程咨询方应当依据矿产资源等相关法律法规的规定，全面掌握建设项目所在地的矿产资源规划、矿产资源分布、矿业权设置情况等，开展建设项目压覆重要矿产资源评估。</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②建设项目压覆重要矿产资源评估主要内容包括项目基本情况、项目选址工作区地质矿产情况，主要确定压覆矿产的矿种、种类、面积及压覆矿产资源/储量的类型、质量、数量、经济价值、矿业权归属情况等。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③工程咨询方应根据建设项目压覆重要矿产资源评估结论，协助投资方向有权限的自然资源主管部门报批。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（三）</w:t>
      </w:r>
      <w:r>
        <w:rPr>
          <w:rFonts w:hint="default" w:ascii="Times New Roman"/>
          <w:b/>
          <w:bCs/>
          <w:color w:val="000000" w:themeColor="text1"/>
          <w:sz w:val="28"/>
          <w:szCs w:val="28"/>
          <w:lang w:val="en-US" w:eastAsia="zh-CN"/>
          <w14:textFill>
            <w14:solidFill>
              <w14:schemeClr w14:val="tx1"/>
            </w14:solidFill>
          </w14:textFill>
        </w:rPr>
        <w:t>建设项目环境影响评价</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①工程咨询方应当依据环境保护等相关法律法规的规定，全面掌握有关环境影响评价标准和技术规范等，开展建设项目环境影响评价。</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项目环境影响评价主要内容包括项目概况、项目周围环境现状、项目对环境可能造成影响的分析、预测和评估，项目环境保护措施及其技术、经济论证，项目对环境影响的经济损益分析、对项目实施环境监测的建议、环境影响评价的结论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③工程咨询方应根据项目对环境的影响程度不同，编制环境影响报告书、环境影响报告表或填报环境影响登记表。</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④</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工程咨询方应根据建设项目环境影响评价结论，协助投资方向有权限的生态环境主管部门报批</w:t>
      </w:r>
      <w:r>
        <w:rPr>
          <w:rFonts w:hint="eastAsia" w:ascii="Times New Roman" w:cs="Times New Roman"/>
          <w:color w:val="000000" w:themeColor="text1"/>
          <w:kern w:val="2"/>
          <w:sz w:val="28"/>
          <w:szCs w:val="28"/>
          <w:lang w:val="en-US" w:eastAsia="zh-CN"/>
          <w14:textFill>
            <w14:solidFill>
              <w14:schemeClr w14:val="tx1"/>
            </w14:solidFill>
          </w14:textFill>
        </w:rPr>
        <w:t>。</w:t>
      </w:r>
    </w:p>
    <w:p>
      <w:pPr>
        <w:spacing w:line="360" w:lineRule="auto"/>
        <w:ind w:firstLine="562" w:firstLineChars="200"/>
        <w:rPr>
          <w:rFonts w:hint="eastAsia" w:ascii="Times New Roman" w:cs="Times New Roman"/>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w:t>
      </w:r>
      <w:r>
        <w:rPr>
          <w:rFonts w:hint="eastAsia" w:ascii="Times New Roman" w:cs="Times New Roman"/>
          <w:color w:val="000000" w:themeColor="text1"/>
          <w:sz w:val="28"/>
          <w:szCs w:val="28"/>
          <w:lang w:val="en-US" w:eastAsia="zh-CN"/>
          <w14:textFill>
            <w14:solidFill>
              <w14:schemeClr w14:val="tx1"/>
            </w14:solidFill>
          </w14:textFill>
        </w:rPr>
        <w:t>参考《桂建标〔2018〕37号》编制环境影响报告书和报告表的收费标准。</w:t>
      </w:r>
    </w:p>
    <w:tbl>
      <w:tblPr>
        <w:tblStyle w:val="5"/>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95"/>
        <w:gridCol w:w="1367"/>
        <w:gridCol w:w="1300"/>
        <w:gridCol w:w="1366"/>
        <w:gridCol w:w="1517"/>
        <w:gridCol w:w="141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4" w:hRule="exact"/>
          <w:jc w:val="center"/>
        </w:trPr>
        <w:tc>
          <w:tcPr>
            <w:tcW w:w="1995"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14:textFill>
                  <w14:solidFill>
                    <w14:schemeClr w14:val="tx1"/>
                  </w14:solidFill>
                </w14:textFill>
              </w:rPr>
            </w:pPr>
          </w:p>
        </w:tc>
        <w:tc>
          <w:tcPr>
            <w:tcW w:w="13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0.3亿元以下</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0.3-2亿元</w:t>
            </w:r>
          </w:p>
        </w:tc>
        <w:tc>
          <w:tcPr>
            <w:tcW w:w="13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2-10亿元</w:t>
            </w:r>
          </w:p>
        </w:tc>
        <w:tc>
          <w:tcPr>
            <w:tcW w:w="15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10-50亿元</w:t>
            </w:r>
          </w:p>
        </w:tc>
        <w:tc>
          <w:tcPr>
            <w:tcW w:w="14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50-100亿元</w:t>
            </w:r>
          </w:p>
        </w:tc>
        <w:tc>
          <w:tcPr>
            <w:tcW w:w="129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4" w:hRule="exact"/>
          <w:jc w:val="center"/>
        </w:trPr>
        <w:tc>
          <w:tcPr>
            <w:tcW w:w="1995"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编制环境影响报告书</w:t>
            </w:r>
          </w:p>
        </w:tc>
        <w:tc>
          <w:tcPr>
            <w:tcW w:w="13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1.6-3.2万元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3.2-4.8万元</w:t>
            </w:r>
          </w:p>
        </w:tc>
        <w:tc>
          <w:tcPr>
            <w:tcW w:w="13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4.8-9.6万元</w:t>
            </w:r>
          </w:p>
        </w:tc>
        <w:tc>
          <w:tcPr>
            <w:tcW w:w="15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9.6-22.4万元</w:t>
            </w:r>
          </w:p>
        </w:tc>
        <w:tc>
          <w:tcPr>
            <w:tcW w:w="14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22.4-60万元</w:t>
            </w:r>
          </w:p>
        </w:tc>
        <w:tc>
          <w:tcPr>
            <w:tcW w:w="129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60-88万元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8" w:hRule="exact"/>
          <w:jc w:val="center"/>
        </w:trPr>
        <w:tc>
          <w:tcPr>
            <w:tcW w:w="1995"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编制环境影响报告表</w:t>
            </w:r>
          </w:p>
        </w:tc>
        <w:tc>
          <w:tcPr>
            <w:tcW w:w="13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0.8-1.2万元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1.2-2.0万元</w:t>
            </w:r>
          </w:p>
        </w:tc>
        <w:tc>
          <w:tcPr>
            <w:tcW w:w="13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2.0-4.0万元</w:t>
            </w:r>
          </w:p>
        </w:tc>
        <w:tc>
          <w:tcPr>
            <w:tcW w:w="15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4.0-8.0万元</w:t>
            </w:r>
          </w:p>
        </w:tc>
        <w:tc>
          <w:tcPr>
            <w:tcW w:w="14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8-12万元</w:t>
            </w:r>
          </w:p>
        </w:tc>
        <w:tc>
          <w:tcPr>
            <w:tcW w:w="129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12-16万元</w:t>
            </w:r>
          </w:p>
        </w:tc>
      </w:tr>
    </w:tbl>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（四）</w:t>
      </w:r>
      <w:r>
        <w:rPr>
          <w:rFonts w:hint="eastAsia" w:ascii="Times New Roman" w:cs="Times New Roman"/>
          <w:b/>
          <w:bCs/>
          <w:color w:val="000000" w:themeColor="text1"/>
          <w:sz w:val="28"/>
          <w:szCs w:val="28"/>
          <w:lang w:val="en-US" w:eastAsia="zh-CN"/>
          <w14:textFill>
            <w14:solidFill>
              <w14:schemeClr w14:val="tx1"/>
            </w14:solidFill>
          </w14:textFill>
        </w:rPr>
        <w:t>节能评估</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①工程咨询方应当根据节能审查等相关法律法规的规定，全面掌握国家节能相关政策、标准和技术规范等，开展固定资产投资项目节能评估。</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固定资产投资项目节能评估主要内容包括分析评价依据；项目建设方案的节能分析和比选；选取节能效果好、技术经济可行的节能技术和管理措施；项目能源消费量、能源消费结构、能源效率等方面的分析；对所在地完成能源消耗总量和强度目标、煤炭消费减量替代目标的影响等方面的分析评价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③工程咨询方应根据固定资产投资项目节能评估结论，协助投资方向有权限的节能审查主管部门报批。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w:t>
      </w:r>
      <w:r>
        <w:rPr>
          <w:rFonts w:hint="eastAsia" w:ascii="Times New Roman" w:cs="Times New Roman"/>
          <w:color w:val="000000" w:themeColor="text1"/>
          <w:sz w:val="28"/>
          <w:szCs w:val="28"/>
          <w:lang w:val="en-US" w:eastAsia="zh-CN"/>
          <w14:textFill>
            <w14:solidFill>
              <w14:schemeClr w14:val="tx1"/>
            </w14:solidFill>
          </w14:textFill>
        </w:rPr>
        <w:t>参考《桂建标〔2018〕37号》的可行性研究报告的编制和评估收费标准。</w:t>
      </w:r>
    </w:p>
    <w:tbl>
      <w:tblPr>
        <w:tblStyle w:val="5"/>
        <w:tblW w:w="11534" w:type="dxa"/>
        <w:tblInd w:w="-1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50"/>
        <w:gridCol w:w="1284"/>
        <w:gridCol w:w="1266"/>
        <w:gridCol w:w="1317"/>
        <w:gridCol w:w="1350"/>
        <w:gridCol w:w="1300"/>
        <w:gridCol w:w="1133"/>
        <w:gridCol w:w="126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4"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500万元以下</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500万元-1000万元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1000万元-3000万元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3000万元-1亿元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1亿元-5亿元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5亿元-10亿元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10亿元-50亿元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4"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编制节能报告</w:t>
            </w: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0.8-1.2万元</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1.2-2.0万元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2.4-4.8万元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4.8-11.2万元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11.2-29.6万元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29.6-44万元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44-80万元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80-100万元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8"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评估节能报告</w:t>
            </w: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0.4-0.8万元</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0.8-1.2万元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1.2-3.2万元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3.2-6.4万元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6.4-9.6万元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9.6-12万元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12-13.6万元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13.6-16万元</w:t>
            </w:r>
          </w:p>
        </w:tc>
      </w:tr>
    </w:tbl>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（五）防洪影响评价</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①工程咨询方应当依据防洪等相关法律法规的规定，全面掌握防洪影响评价标准和规范性文件要求，开展防洪影响评价。</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②防洪影响评价主要内容包括项目概况、项目对防洪的影响、洪水对建设项目的影响、消除或减轻洪水影响的措施、结论与建议等。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河道管理范围内建设项目工程建设方案的审批，需编制防洪评价报告。非防洪建设项目防洪影响评价报告的审批，需编制防洪影响评价报告。国家基本水文测站上下游建设影响水文监测工程的审批，需编制建设工程对水文监测影响程度的分析评价报告。</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④</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工程咨询方应根据防洪影响评价结论，协助投资方向有权限的水行政主管部门报批。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（六）</w:t>
      </w:r>
      <w:r>
        <w:rPr>
          <w:rFonts w:hint="eastAsia" w:ascii="Times New Roman" w:cs="Times New Roman"/>
          <w:b/>
          <w:bCs/>
          <w:color w:val="000000" w:themeColor="text1"/>
          <w:sz w:val="28"/>
          <w:szCs w:val="28"/>
          <w:lang w:val="en-US" w:eastAsia="zh-CN"/>
          <w14:textFill>
            <w14:solidFill>
              <w14:schemeClr w14:val="tx1"/>
            </w14:solidFill>
          </w14:textFill>
        </w:rPr>
        <w:t>生产建设项目水土保持方案</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①工程咨询单位应当依据水土保持等相关法律法规的规定，全面掌握国家水土保持政策标准、技术规范等，编制生产建设项目水土保持方案。</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生产建设项目水土保持方案主要内容包括生产建设项目概况及项目所在地区域概况、主体工程水土保持评价与水土流失预测，水土流失防治责任范围及防治分区，水土流失防治目标及防治措施布局，水土保持方案投资估算与效益分析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③工程咨询单位应根据生产建设项目水土保持方案结论，协助投资方向有权限的水行政主管部门报批。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（七）</w:t>
      </w:r>
      <w:r>
        <w:rPr>
          <w:rFonts w:hint="eastAsia" w:ascii="Times New Roman" w:cs="Times New Roman"/>
          <w:b/>
          <w:bCs/>
          <w:color w:val="000000" w:themeColor="text1"/>
          <w:sz w:val="28"/>
          <w:szCs w:val="28"/>
          <w:lang w:val="en-US" w:eastAsia="zh-CN"/>
          <w14:textFill>
            <w14:solidFill>
              <w14:schemeClr w14:val="tx1"/>
            </w14:solidFill>
          </w14:textFill>
        </w:rPr>
        <w:t>水资源论证</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①工程咨询方应当依据取水许可等相关法律法规的规定，开展建设项目水资源论证。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②建设项目水资源论证主要内容包括拟建项目概况、取水水源论证、用水合理性论证、退（排）水情况及其对水环境影响分析、对其他用水户权益的影响分析、其他事项等。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③工程咨询方应根据项目取水量以及对周边环境影响程度等情况，按规定要求编制水资源论证报告书（表）。</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④工程咨询方应根据建设项目水资源论证结论，协助投资方向有权限的水行政主管部门报批。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（八）建设工程文物保护</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①工程咨询方应当依据文物保护等相关法律法规的规定，全面掌握拟建项目建设地点、工程规划和设计方案、文物保护单位的具体情况等，开展建设工程对文物可能产生破坏或影响的评估。</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②建设工程对文物可能产生破坏或影响的评估主要内容包括项目概况、涉及文物保护单位概况、项目与文物保护单位的关系、项目对文物保护单位的影响分析、评估结论等。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③工程咨询方应根据建设工程对文物可能产生破坏或影响的评估结论，协助投资方向有权限的文物行政主管部门报批。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（九）社会风险评估</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①工程咨询方应当依据重大固定资产投资项目社会稳定风险评估暂行办法等相关法规的规定，开展社会风险评估。</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②社会风险评估主要内容包括项目概况、社会风险调查分析、相关群众意见、风险点、风险发生的可能性及影响程度、防范和化解风险的方案措施、提出采取相关措施后的社会风险等级建议等。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③工程咨询方应根据社会风险评估结论，协助投资方向有权限的行政主管部门报批。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（十）</w:t>
      </w:r>
      <w:r>
        <w:rPr>
          <w:rFonts w:hint="default" w:ascii="Times New Roman" w:cs="Times New Roman"/>
          <w:b/>
          <w:bCs/>
          <w:color w:val="000000" w:themeColor="text1"/>
          <w:sz w:val="28"/>
          <w:szCs w:val="28"/>
          <w:lang w:val="en-US" w:eastAsia="zh-CN"/>
          <w14:textFill>
            <w14:solidFill>
              <w14:schemeClr w14:val="tx1"/>
            </w14:solidFill>
          </w14:textFill>
        </w:rPr>
        <w:t>政府和社会资本合作（PPP）咨询</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 拟采用政府和社会资本合作（PPP）模式的，工程咨询方应当在可行性研究阶段对项目是否适宜采用PPP模式进行分析和论证。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②PPP咨询主要内容是从政府投资必要性、政府投资方式比选、项目全生命周期成本、运营效率、风险管理以及是否有利于吸引社会资本参与等方面，对项目是否适宜采用PPP模式进行分析和论证。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③工程咨询方应根据PPP咨询结论，协助投资方开展PPP实施方案报批等相关工作。</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602" w:firstLineChars="200"/>
        <w:rPr>
          <w:rFonts w:hint="eastAsia" w:ascii="Times New Roman"/>
          <w:b/>
          <w:bCs/>
          <w:color w:val="000000" w:themeColor="text1"/>
          <w:sz w:val="30"/>
          <w:szCs w:val="30"/>
          <w:lang w:eastAsia="zh-CN"/>
          <w14:textFill>
            <w14:solidFill>
              <w14:schemeClr w14:val="tx1"/>
            </w14:solidFill>
          </w14:textFill>
        </w:rPr>
      </w:pPr>
      <w:r>
        <w:rPr>
          <w:rFonts w:hint="eastAsia" w:ascii="Times New Roman"/>
          <w:b/>
          <w:bCs/>
          <w:color w:val="000000" w:themeColor="text1"/>
          <w:sz w:val="30"/>
          <w:szCs w:val="30"/>
          <w:lang w:eastAsia="zh-CN"/>
          <w14:textFill>
            <w14:solidFill>
              <w14:schemeClr w14:val="tx1"/>
            </w14:solidFill>
          </w14:textFill>
        </w:rPr>
        <w:t>四、工程勘察技术</w:t>
      </w:r>
      <w:r>
        <w:rPr>
          <w:rFonts w:hint="eastAsia" w:ascii="Times New Roman"/>
          <w:b/>
          <w:bCs/>
          <w:color w:val="000000" w:themeColor="text1"/>
          <w:sz w:val="30"/>
          <w:szCs w:val="30"/>
          <w:lang w:val="en-US" w:eastAsia="zh-CN"/>
          <w14:textFill>
            <w14:solidFill>
              <w14:schemeClr w14:val="tx1"/>
            </w14:solidFill>
          </w14:textFill>
        </w:rPr>
        <w:t>咨询</w:t>
      </w:r>
      <w:r>
        <w:rPr>
          <w:rFonts w:hint="eastAsia" w:ascii="Times New Roman"/>
          <w:b/>
          <w:bCs/>
          <w:color w:val="000000" w:themeColor="text1"/>
          <w:sz w:val="30"/>
          <w:szCs w:val="30"/>
          <w:lang w:eastAsia="zh-CN"/>
          <w14:textFill>
            <w14:solidFill>
              <w14:schemeClr w14:val="tx1"/>
            </w14:solidFill>
          </w14:textFill>
        </w:rPr>
        <w:t>和工程设计技术</w:t>
      </w:r>
      <w:r>
        <w:rPr>
          <w:rFonts w:hint="eastAsia" w:ascii="Times New Roman"/>
          <w:b/>
          <w:bCs/>
          <w:color w:val="000000" w:themeColor="text1"/>
          <w:sz w:val="30"/>
          <w:szCs w:val="30"/>
          <w:lang w:val="en-US" w:eastAsia="zh-CN"/>
          <w14:textFill>
            <w14:solidFill>
              <w14:schemeClr w14:val="tx1"/>
            </w14:solidFill>
          </w14:textFill>
        </w:rPr>
        <w:t>咨询</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（一）工程勘察技术咨询</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pStyle w:val="12"/>
        <w:overflowPunct w:val="0"/>
        <w:spacing w:before="156" w:beforeLines="50"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①工程咨询方应根据工程咨询合同约定，针对可行性研究勘察、初步勘察、详细勘察和施工勘察为委托方提供咨询服务，也可针对某一特定勘察任务为委托方提供咨询服务。</w:t>
      </w:r>
    </w:p>
    <w:p>
      <w:pPr>
        <w:pStyle w:val="12"/>
        <w:overflowPunct w:val="0"/>
        <w:spacing w:line="360" w:lineRule="auto"/>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cs="Times New Roman"/>
          <w:color w:val="000000" w:themeColor="text1"/>
          <w:kern w:val="2"/>
          <w:sz w:val="28"/>
          <w:szCs w:val="28"/>
          <w:lang w:val="en-US" w:eastAsia="zh-CN"/>
          <w14:textFill>
            <w14:solidFill>
              <w14:schemeClr w14:val="tx1"/>
            </w14:solidFill>
          </w14:textFill>
        </w:rPr>
        <w:t>　　</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②工程咨询方应遵循工程勘察标准实施勘察作业，包括室外作业、室内试验分析和报告编制。</w:t>
      </w:r>
    </w:p>
    <w:p>
      <w:pPr>
        <w:pStyle w:val="12"/>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③工程勘察应查明场地和地基稳定性、地层结构、持力层和下卧层的工程特性，土的应力历史和地下水条件及不良地质作用等。</w:t>
      </w:r>
    </w:p>
    <w:p>
      <w:pPr>
        <w:pStyle w:val="12"/>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④工程勘察应提供满足工程设计、施工所需的岩土参数，并应确定地基承载力和预测地基变形性状。</w:t>
      </w:r>
    </w:p>
    <w:p>
      <w:pPr>
        <w:pStyle w:val="12"/>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⑤对于抗震设防烈度等于或大于6度的场地，应进行场地与地基的地震效应评价。</w:t>
      </w:r>
    </w:p>
    <w:p>
      <w:pPr>
        <w:pStyle w:val="12"/>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⑥工程咨询方应根据工程勘察任务书要求及工程勘察相关标准编制工程勘察报告。或根据委托方要求及项目需求，编制水文地质勘察报告、文物保护勘察报告等专项勘察报告。</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⑦工程勘察报告内容组成应完整，结论表述应清晰，并应满足工程勘察合同、勘察任务书及工程设计的深度要求，确保工程勘察成果的科学性、真实性和准确性。</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⑧工程咨询方应配合委托方完成工程勘察报告的审核验收。</w:t>
      </w:r>
    </w:p>
    <w:p>
      <w:pPr>
        <w:numPr>
          <w:ilvl w:val="0"/>
          <w:numId w:val="0"/>
        </w:numPr>
        <w:spacing w:line="360" w:lineRule="auto"/>
        <w:ind w:firstLine="562" w:firstLineChars="200"/>
        <w:rPr>
          <w:rFonts w:hint="eastAsia" w:ascii="Times New Roman" w:cs="Times New Roman"/>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w:t>
      </w:r>
      <w:r>
        <w:rPr>
          <w:rFonts w:hint="eastAsia" w:ascii="Times New Roman" w:cs="Times New Roman"/>
          <w:color w:val="000000" w:themeColor="text1"/>
          <w:sz w:val="28"/>
          <w:szCs w:val="28"/>
          <w:lang w:val="en-US" w:eastAsia="zh-CN"/>
          <w14:textFill>
            <w14:solidFill>
              <w14:schemeClr w14:val="tx1"/>
            </w14:solidFill>
          </w14:textFill>
        </w:rPr>
        <w:t>参考《桂建标〔2018〕37号》的工程勘察费。</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10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numPr>
                <w:ilvl w:val="0"/>
                <w:numId w:val="0"/>
              </w:numPr>
              <w:spacing w:line="360" w:lineRule="auto"/>
              <w:jc w:val="center"/>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序号</w:t>
            </w:r>
          </w:p>
        </w:tc>
        <w:tc>
          <w:tcPr>
            <w:tcW w:w="3105" w:type="dxa"/>
          </w:tcPr>
          <w:p>
            <w:pPr>
              <w:numPr>
                <w:ilvl w:val="0"/>
                <w:numId w:val="0"/>
              </w:numPr>
              <w:spacing w:line="360" w:lineRule="auto"/>
              <w:jc w:val="center"/>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费用项目名称</w:t>
            </w:r>
          </w:p>
        </w:tc>
        <w:tc>
          <w:tcPr>
            <w:tcW w:w="4590" w:type="dxa"/>
          </w:tcPr>
          <w:p>
            <w:pPr>
              <w:numPr>
                <w:ilvl w:val="0"/>
                <w:numId w:val="0"/>
              </w:numPr>
              <w:spacing w:line="360" w:lineRule="auto"/>
              <w:jc w:val="center"/>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numPr>
                <w:ilvl w:val="0"/>
                <w:numId w:val="0"/>
              </w:numPr>
              <w:spacing w:line="360" w:lineRule="auto"/>
              <w:jc w:val="center"/>
              <w:rPr>
                <w:rFonts w:hint="default"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1</w:t>
            </w:r>
          </w:p>
        </w:tc>
        <w:tc>
          <w:tcPr>
            <w:tcW w:w="3105" w:type="dxa"/>
            <w:vAlign w:val="center"/>
          </w:tcPr>
          <w:p>
            <w:pPr>
              <w:numPr>
                <w:ilvl w:val="0"/>
                <w:numId w:val="0"/>
              </w:numPr>
              <w:spacing w:line="360" w:lineRule="auto"/>
              <w:jc w:val="center"/>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工程勘察费</w:t>
            </w:r>
          </w:p>
        </w:tc>
        <w:tc>
          <w:tcPr>
            <w:tcW w:w="4590" w:type="dxa"/>
          </w:tcPr>
          <w:p>
            <w:pPr>
              <w:pStyle w:val="4"/>
              <w:keepNext w:val="0"/>
              <w:keepLines w:val="0"/>
              <w:widowControl/>
              <w:suppressLineNumbers w:val="0"/>
              <w:spacing w:before="0" w:beforeAutospacing="0" w:after="0" w:afterAutospacing="0"/>
              <w:ind w:left="0" w:right="0" w:firstLine="0"/>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初步勘察及详细勘察</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管理：</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建筑项目按工程费用0.</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3</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%-0.</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5</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%计列</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市政项目按</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工程</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程费用0.</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5</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1</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%计列</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其他项目参照以上相类似的项目执行。</w:t>
            </w:r>
          </w:p>
          <w:p>
            <w:pPr>
              <w:pStyle w:val="4"/>
              <w:keepNext w:val="0"/>
              <w:keepLines w:val="0"/>
              <w:widowControl/>
              <w:suppressLineNumbers w:val="0"/>
              <w:spacing w:before="0" w:beforeAutospacing="0" w:after="0" w:afterAutospacing="0"/>
              <w:ind w:left="0" w:right="0" w:firstLine="0"/>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施工勘察</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管理：</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各专业均按工程费用</w:t>
            </w:r>
          </w:p>
          <w:p>
            <w:pPr>
              <w:pStyle w:val="4"/>
              <w:keepNext w:val="0"/>
              <w:keepLines w:val="0"/>
              <w:widowControl/>
              <w:suppressLineNumbers w:val="0"/>
              <w:spacing w:before="0" w:beforeAutospacing="0" w:after="0" w:afterAutospacing="0"/>
              <w:ind w:left="0" w:right="0" w:firstLine="0"/>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s="Times New Roman"/>
                <w:color w:val="000000" w:themeColor="text1"/>
                <w:kern w:val="2"/>
                <w:sz w:val="28"/>
                <w:szCs w:val="28"/>
                <w:vertAlign w:val="baseline"/>
                <w:lang w:val="en-US" w:eastAsia="zh-CN"/>
                <w14:textFill>
                  <w14:solidFill>
                    <w14:schemeClr w14:val="tx1"/>
                  </w14:solidFill>
                </w14:textFill>
              </w:rPr>
              <w:t>1.2</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1.8</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%计列。</w:t>
            </w:r>
          </w:p>
        </w:tc>
      </w:tr>
    </w:tbl>
    <w:p>
      <w:pPr>
        <w:numPr>
          <w:ilvl w:val="0"/>
          <w:numId w:val="0"/>
        </w:numPr>
        <w:tabs>
          <w:tab w:val="left" w:pos="312"/>
        </w:tabs>
        <w:spacing w:line="360" w:lineRule="auto"/>
        <w:ind w:firstLine="562" w:firstLineChars="200"/>
        <w:rPr>
          <w:rFonts w:hint="eastAsia" w:ascii="Times New Roman"/>
          <w:b/>
          <w:bCs/>
          <w:color w:val="000000"/>
          <w:sz w:val="28"/>
          <w:szCs w:val="28"/>
          <w:lang w:val="en-US" w:eastAsia="zh-CN"/>
        </w:rPr>
      </w:pPr>
    </w:p>
    <w:p>
      <w:pPr>
        <w:numPr>
          <w:ilvl w:val="0"/>
          <w:numId w:val="0"/>
        </w:numPr>
        <w:tabs>
          <w:tab w:val="left" w:pos="312"/>
        </w:tabs>
        <w:spacing w:line="360" w:lineRule="auto"/>
        <w:ind w:firstLine="562" w:firstLineChars="200"/>
        <w:rPr>
          <w:rFonts w:hint="eastAsia" w:ascii="Times New Roman"/>
          <w:color w:val="000000"/>
          <w:sz w:val="28"/>
          <w:szCs w:val="28"/>
          <w:lang w:val="en-US" w:eastAsia="zh-CN"/>
        </w:rPr>
      </w:pPr>
      <w:r>
        <w:rPr>
          <w:rFonts w:hint="eastAsia" w:ascii="Times New Roman"/>
          <w:b/>
          <w:bCs/>
          <w:color w:val="000000"/>
          <w:sz w:val="28"/>
          <w:szCs w:val="28"/>
          <w:lang w:val="en-US" w:eastAsia="zh-CN"/>
        </w:rPr>
        <w:t>（二）工程设计技术咨询</w:t>
      </w:r>
    </w:p>
    <w:p>
      <w:pPr>
        <w:numPr>
          <w:ilvl w:val="0"/>
          <w:numId w:val="0"/>
        </w:numPr>
        <w:spacing w:line="360" w:lineRule="auto"/>
        <w:ind w:firstLine="562" w:firstLineChars="200"/>
        <w:rPr>
          <w:rFonts w:hint="eastAsia" w:ascii="Times New Roman"/>
          <w:b/>
          <w:bCs/>
          <w:color w:val="000000"/>
          <w:sz w:val="28"/>
          <w:szCs w:val="28"/>
          <w:lang w:val="en-US" w:eastAsia="zh-CN"/>
        </w:rPr>
      </w:pPr>
      <w:r>
        <w:rPr>
          <w:rFonts w:hint="eastAsia" w:ascii="Times New Roman"/>
          <w:b/>
          <w:bCs/>
          <w:color w:val="000000"/>
          <w:sz w:val="28"/>
          <w:szCs w:val="28"/>
          <w:lang w:val="en-US" w:eastAsia="zh-CN"/>
        </w:rPr>
        <w:t>1、主要工作内容：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①工程咨询方可根据工程咨询合同约定，开展方案设计工作。</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②方案设计依据主要包括下列内容：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相关法律法规、政策及工程设计标准。</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项目策划决策阶段咨询成果文件及其批复意见。</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工程咨询合同及工程设计任务书。</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内外部设计条件及设计案例等信息资料。</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③方案设计应确定项目范围及内容、建设标准、设计原则，将功能需求与空间造型相结合，比选和推荐项目主要技术方案。</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④方案设计应比选和推荐项目总图方案，还应确定主要设备选型。</w:t>
      </w:r>
    </w:p>
    <w:p>
      <w:pPr>
        <w:pStyle w:val="12"/>
        <w:overflowPunct w:val="0"/>
        <w:spacing w:line="360" w:lineRule="auto"/>
        <w:ind w:firstLine="560" w:firstLineChars="200"/>
        <w:rPr>
          <w:rFonts w:hint="default"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⑤方案设计应进行多方案</w:t>
      </w:r>
      <w:r>
        <w:rPr>
          <w:rFonts w:hint="eastAsia" w:ascii="Times New Roman" w:hAnsi="Calibri" w:cs="Times New Roman"/>
          <w:color w:val="000000"/>
          <w:kern w:val="2"/>
          <w:sz w:val="28"/>
          <w:szCs w:val="28"/>
          <w:lang w:val="en-US" w:eastAsia="zh-CN"/>
        </w:rPr>
        <w:t>比</w:t>
      </w:r>
      <w:r>
        <w:rPr>
          <w:rFonts w:hint="eastAsia" w:ascii="Times New Roman" w:hAnsi="Calibri" w:eastAsia="宋体" w:cs="Times New Roman"/>
          <w:color w:val="000000"/>
          <w:kern w:val="2"/>
          <w:sz w:val="28"/>
          <w:szCs w:val="28"/>
          <w:lang w:val="en-US" w:eastAsia="zh-CN"/>
        </w:rPr>
        <w:t>选，突出方案设计过程中的技术经济必选，确保选定的设计方案能够满足投资控制要求。</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⑥工程咨询方应根据工程咨询（设计）合同及工程设计任务书要求，向委托方提交方案设计成果。方案设计成果主要包括设计说明书（含投资估算表）和方案设计图纸、模型（实体模型或计算机虚拟模型）等。</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涉及建筑节能、环保、绿色建筑、人防等设计的，设计说明书中应有相应内容。涉及装配式建筑技术的，方案设计文件还应包括装配式建筑技术策划文件。</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⑦工程咨询方应配合委托方完成方案设计成果的审核验收。</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⑧工程咨询方应根据工程咨询合同约定，开展初步设计工作。</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⑨初步设计依据主要包括下列内容：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相关法律法规、政策及工程设计标准。</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项目策划决策阶段咨询成果文件及其批复意见。</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工程勘察报告及审核通过的方案设计成果。</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工程咨询合同及工程设计任务书。</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工程设计相关基础资料。</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⑩初步设计应在确定设计原则和设计标准的基础上，明确建设规模，设计各专业主要设计方案和工艺流程，还应确定总平面布置。</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,11)</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初步设计应确定能源介质参数和消耗，还应进行主要设备选型，并编制主要设备材料表及技术规格书。</w:t>
      </w:r>
    </w:p>
    <w:p>
      <w:pPr>
        <w:pStyle w:val="12"/>
        <w:overflowPunct w:val="0"/>
        <w:spacing w:line="360" w:lineRule="auto"/>
        <w:ind w:firstLine="48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,12)</w:instrText>
      </w:r>
      <w:r>
        <w:rPr>
          <w:rFonts w:hint="eastAsia" w:ascii="Times New Roman" w:hAnsi="Calibri" w:eastAsia="宋体" w:cs="Times New Roman"/>
          <w:color w:val="000000"/>
          <w:kern w:val="2"/>
          <w:sz w:val="24"/>
          <w:szCs w:val="24"/>
          <w:lang w:val="en-US" w:eastAsia="zh-CN"/>
        </w:rPr>
        <w:fldChar w:fldCharType="end"/>
      </w:r>
      <w:r>
        <w:rPr>
          <w:rFonts w:hint="eastAsia" w:ascii="Times New Roman" w:hAnsi="Calibri" w:eastAsia="宋体" w:cs="Times New Roman"/>
          <w:color w:val="000000"/>
          <w:kern w:val="2"/>
          <w:sz w:val="28"/>
          <w:szCs w:val="28"/>
          <w:lang w:val="en-US" w:eastAsia="zh-CN"/>
        </w:rPr>
        <w:t>初步设计应绘制初步设计图纸，并应计算工程量和编制工程概算。工程总概算不应超过可行性研究投资估算总额。</w:t>
      </w:r>
    </w:p>
    <w:p>
      <w:pPr>
        <w:pStyle w:val="12"/>
        <w:overflowPunct w:val="0"/>
        <w:spacing w:line="360" w:lineRule="auto"/>
        <w:ind w:firstLine="48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,13)</w:instrText>
      </w:r>
      <w:r>
        <w:rPr>
          <w:rFonts w:hint="eastAsia" w:ascii="Times New Roman" w:hAnsi="Calibri" w:eastAsia="宋体" w:cs="Times New Roman"/>
          <w:color w:val="000000"/>
          <w:kern w:val="2"/>
          <w:sz w:val="24"/>
          <w:szCs w:val="24"/>
          <w:lang w:val="en-US" w:eastAsia="zh-CN"/>
        </w:rPr>
        <w:fldChar w:fldCharType="end"/>
      </w:r>
      <w:r>
        <w:rPr>
          <w:rFonts w:hint="eastAsia" w:ascii="Times New Roman" w:hAnsi="Calibri" w:eastAsia="宋体" w:cs="Times New Roman"/>
          <w:color w:val="000000"/>
          <w:kern w:val="2"/>
          <w:sz w:val="28"/>
          <w:szCs w:val="28"/>
          <w:lang w:val="en-US" w:eastAsia="zh-CN"/>
        </w:rPr>
        <w:t>工程咨询方应根据工程咨询合同及工程设计任务书要求，向委托方提交初步设计成果。初步设计成果主要包括设计说明书、初步设计图纸、主要设备材料表及技术规格书、工程概算书和有关环保、人防、消防、安全、节能和抗震专篇。</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,14)</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涉及绿色建筑、装配式建筑的，设计说明书中应有相应内容。</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,15)</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工程咨询方应配合委托方完成初步设计成果的审核验收。</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,16)</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工程咨询方可协助委托方办理初步设计文件报批手续。</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,17)</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工程咨询方应根据工程咨询合同约定，开展施工图设计工作。</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,18)</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施工图设计依据主要包括下列内容：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相关法律法规、政策及工程设计标准。</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批准的初步设计成果文件及策划决策阶段咨询成果及其批复意见。</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工程（详细）勘察报告及有关设备、材料订货资料。</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工程咨询合同及工程设计任务书。</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工程设计相关基础资料。</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19</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施工图设计应落实设计条件和要求，解决专项技术问题，并应绘制工程施工、设备安装所需的全部图纸。对于重要施工、安装部位，还应编制施工操作说明。</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20</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施工图设计应提出设备、材料采购技术文件，并应详细说明非标准设备和结构件的加工制作要求。</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21</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施工图设计应编制施工图预算，为委托方提供招标工程量清单和招标控制价文件，为工程施工招标、工程竣工结算提供参考。施工图预算额不应超过批准的工程概算总额。</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22</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工程咨询方应根据工程咨询合同及工程设计任务书要求，向委托方提交施工图设计成果。施工图设计成果主要包括所有专业的设计图纸（含图纸目录、说明、设备表、材料表）、各专业工程计算书、计算机辅助设计软件及资料、施工图预算书。</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涉及建筑节能、装配式建筑设计的，设计说明及图纸应有相应设计内容。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23</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工程咨询方应配合委托方提交施工图设计文件审查机构进行施工图设计文件审查。</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24</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工程咨询方应参加委托方组织的设计交底和图纸会审会议，详细阐释施工图设计意图及施工中应注意的事项，并应澄清所提出的问题。</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25</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工程咨询方应在工程施工过程中提供设计服务，处理设计变更事宜，还应参加主要分部工程验收和工程竣工验收并签署验收意见。</w:t>
      </w:r>
    </w:p>
    <w:p>
      <w:pPr>
        <w:numPr>
          <w:ilvl w:val="0"/>
          <w:numId w:val="0"/>
        </w:numPr>
        <w:spacing w:line="360" w:lineRule="auto"/>
        <w:ind w:firstLine="562" w:firstLineChars="200"/>
        <w:rPr>
          <w:rFonts w:hint="eastAsia" w:ascii="Times New Roman" w:cs="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参考《桂建标〔2018〕37号》的工程设计费。</w:t>
      </w:r>
    </w:p>
    <w:tbl>
      <w:tblPr>
        <w:tblStyle w:val="6"/>
        <w:tblpPr w:leftFromText="180" w:rightFromText="180" w:vertAnchor="text" w:horzAnchor="page" w:tblpXSpec="center" w:tblpY="602"/>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0"/>
        <w:gridCol w:w="1287"/>
        <w:gridCol w:w="975"/>
        <w:gridCol w:w="930"/>
        <w:gridCol w:w="1005"/>
        <w:gridCol w:w="126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restart"/>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pPr>
            <w:r>
              <w:rPr>
                <w:rFonts w:ascii="宋体" w:hAnsi="宋体" w:eastAsia="宋体" w:cs="宋体"/>
                <w:color w:val="000000"/>
                <w:spacing w:val="0"/>
                <w:w w:val="100"/>
                <w:position w:val="0"/>
                <w:sz w:val="28"/>
                <w:szCs w:val="28"/>
              </w:rPr>
              <w:t>序号</w:t>
            </w:r>
          </w:p>
        </w:tc>
        <w:tc>
          <w:tcPr>
            <w:tcW w:w="1350" w:type="dxa"/>
          </w:tcPr>
          <w:p>
            <w:pPr>
              <w:widowControl w:val="0"/>
              <w:shd w:val="clear"/>
              <w:spacing w:line="360" w:lineRule="exact"/>
              <w:rPr>
                <w:rFonts w:hint="eastAsia" w:eastAsia="宋体"/>
                <w:sz w:val="28"/>
                <w:szCs w:val="28"/>
                <w:vertAlign w:val="baseline"/>
                <w:lang w:eastAsia="zh-CN"/>
              </w:rPr>
            </w:pPr>
            <w:r>
              <w:rPr>
                <w:rFonts w:hint="eastAsia" w:eastAsia="宋体"/>
                <w:sz w:val="28"/>
                <w:szCs w:val="28"/>
                <w:vertAlign w:val="baseline"/>
                <w:lang w:eastAsia="zh-CN"/>
              </w:rPr>
              <w:t>工程费计费额</w:t>
            </w:r>
          </w:p>
        </w:tc>
        <w:tc>
          <w:tcPr>
            <w:tcW w:w="1287" w:type="dxa"/>
          </w:tcPr>
          <w:p>
            <w:pPr>
              <w:widowControl w:val="0"/>
              <w:shd w:val="clear"/>
              <w:spacing w:line="360" w:lineRule="exact"/>
              <w:rPr>
                <w:rFonts w:hint="eastAsia" w:eastAsia="宋体"/>
                <w:sz w:val="28"/>
                <w:szCs w:val="28"/>
                <w:vertAlign w:val="baseline"/>
                <w:lang w:eastAsia="zh-CN"/>
              </w:rPr>
            </w:pPr>
            <w:r>
              <w:rPr>
                <w:rFonts w:hint="eastAsia"/>
                <w:sz w:val="28"/>
                <w:szCs w:val="28"/>
                <w:vertAlign w:val="baseline"/>
                <w:lang w:eastAsia="zh-CN"/>
              </w:rPr>
              <w:t>设计</w:t>
            </w:r>
            <w:r>
              <w:rPr>
                <w:rFonts w:hint="eastAsia" w:eastAsia="宋体"/>
                <w:sz w:val="28"/>
                <w:szCs w:val="28"/>
                <w:vertAlign w:val="baseline"/>
                <w:lang w:eastAsia="zh-CN"/>
              </w:rPr>
              <w:t>费基价</w:t>
            </w:r>
          </w:p>
        </w:tc>
        <w:tc>
          <w:tcPr>
            <w:tcW w:w="4170" w:type="dxa"/>
            <w:gridSpan w:val="4"/>
          </w:tcPr>
          <w:p>
            <w:pPr>
              <w:widowControl w:val="0"/>
              <w:shd w:val="clear"/>
              <w:spacing w:line="360" w:lineRule="exact"/>
              <w:jc w:val="center"/>
              <w:rPr>
                <w:rFonts w:hint="eastAsia" w:eastAsia="宋体"/>
                <w:sz w:val="28"/>
                <w:szCs w:val="28"/>
                <w:vertAlign w:val="baseline"/>
                <w:lang w:eastAsia="zh-CN"/>
              </w:rPr>
            </w:pPr>
            <w:r>
              <w:rPr>
                <w:rFonts w:hint="eastAsia" w:eastAsia="宋体"/>
                <w:sz w:val="28"/>
                <w:szCs w:val="28"/>
                <w:vertAlign w:val="baseline"/>
                <w:lang w:eastAsia="zh-CN"/>
              </w:rPr>
              <w:t>工程复杂程度调整系数</w:t>
            </w:r>
          </w:p>
        </w:tc>
        <w:tc>
          <w:tcPr>
            <w:tcW w:w="1758" w:type="dxa"/>
            <w:vMerge w:val="restart"/>
            <w:vAlign w:val="center"/>
          </w:tcPr>
          <w:p>
            <w:pPr>
              <w:widowControl w:val="0"/>
              <w:shd w:val="clear"/>
              <w:spacing w:line="360" w:lineRule="exact"/>
              <w:jc w:val="center"/>
              <w:rPr>
                <w:rFonts w:hint="eastAsia"/>
                <w:sz w:val="28"/>
                <w:szCs w:val="28"/>
                <w:vertAlign w:val="baseline"/>
                <w:lang w:eastAsia="zh-CN"/>
              </w:rPr>
            </w:pPr>
            <w:r>
              <w:rPr>
                <w:rFonts w:hint="eastAsia"/>
                <w:sz w:val="28"/>
                <w:szCs w:val="28"/>
                <w:vertAlign w:val="baseline"/>
                <w:lang w:eastAsia="zh-CN"/>
              </w:rPr>
              <w:t>设计管理咨询收费</w:t>
            </w:r>
          </w:p>
          <w:p>
            <w:pPr>
              <w:widowControl w:val="0"/>
              <w:shd w:val="clear"/>
              <w:spacing w:line="360" w:lineRule="exact"/>
              <w:jc w:val="center"/>
              <w:rPr>
                <w:rFonts w:hint="eastAsia"/>
                <w:sz w:val="28"/>
                <w:szCs w:val="28"/>
                <w:vertAlign w:val="baseline"/>
                <w:lang w:eastAsia="zh-CN"/>
              </w:rPr>
            </w:pPr>
            <w:r>
              <w:rPr>
                <w:rFonts w:hint="eastAsia"/>
                <w:sz w:val="28"/>
                <w:szCs w:val="28"/>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Pr>
          <w:p>
            <w:pPr>
              <w:widowControl w:val="0"/>
              <w:shd w:val="clear"/>
              <w:spacing w:line="360" w:lineRule="exact"/>
              <w:jc w:val="center"/>
              <w:rPr>
                <w:sz w:val="28"/>
                <w:szCs w:val="28"/>
                <w:vertAlign w:val="baseline"/>
              </w:rPr>
            </w:pPr>
          </w:p>
        </w:tc>
        <w:tc>
          <w:tcPr>
            <w:tcW w:w="2637" w:type="dxa"/>
            <w:gridSpan w:val="2"/>
            <w:vAlign w:val="center"/>
          </w:tcPr>
          <w:p>
            <w:pPr>
              <w:widowControl w:val="0"/>
              <w:shd w:val="clear"/>
              <w:spacing w:line="360" w:lineRule="exact"/>
              <w:jc w:val="center"/>
              <w:rPr>
                <w:rFonts w:hint="eastAsia" w:eastAsia="宋体"/>
                <w:sz w:val="28"/>
                <w:szCs w:val="28"/>
                <w:vertAlign w:val="baseline"/>
                <w:lang w:eastAsia="zh-CN"/>
              </w:rPr>
            </w:pPr>
            <w:r>
              <w:rPr>
                <w:rFonts w:hint="eastAsia" w:eastAsia="宋体"/>
                <w:sz w:val="28"/>
                <w:szCs w:val="28"/>
                <w:vertAlign w:val="baseline"/>
                <w:lang w:eastAsia="zh-CN"/>
              </w:rPr>
              <w:t>（万元）</w:t>
            </w:r>
          </w:p>
        </w:tc>
        <w:tc>
          <w:tcPr>
            <w:tcW w:w="975" w:type="dxa"/>
          </w:tcPr>
          <w:p>
            <w:pPr>
              <w:widowControl w:val="0"/>
              <w:shd w:val="clear"/>
              <w:spacing w:line="360" w:lineRule="exact"/>
              <w:rPr>
                <w:rFonts w:hint="eastAsia" w:eastAsia="宋体"/>
                <w:sz w:val="28"/>
                <w:szCs w:val="28"/>
                <w:vertAlign w:val="baseline"/>
                <w:lang w:eastAsia="zh-CN"/>
              </w:rPr>
            </w:pPr>
            <w:r>
              <w:rPr>
                <w:rFonts w:hint="eastAsia" w:eastAsia="宋体"/>
                <w:sz w:val="28"/>
                <w:szCs w:val="28"/>
                <w:vertAlign w:val="baseline"/>
                <w:lang w:eastAsia="zh-CN"/>
              </w:rPr>
              <w:t>简单工程</w:t>
            </w:r>
          </w:p>
        </w:tc>
        <w:tc>
          <w:tcPr>
            <w:tcW w:w="930" w:type="dxa"/>
          </w:tcPr>
          <w:p>
            <w:pPr>
              <w:widowControl w:val="0"/>
              <w:shd w:val="clear"/>
              <w:spacing w:line="360" w:lineRule="exact"/>
              <w:rPr>
                <w:rFonts w:hint="eastAsia" w:eastAsia="宋体"/>
                <w:sz w:val="28"/>
                <w:szCs w:val="28"/>
                <w:vertAlign w:val="baseline"/>
                <w:lang w:eastAsia="zh-CN"/>
              </w:rPr>
            </w:pPr>
            <w:r>
              <w:rPr>
                <w:rFonts w:hint="eastAsia" w:eastAsia="宋体"/>
                <w:sz w:val="28"/>
                <w:szCs w:val="28"/>
                <w:vertAlign w:val="baseline"/>
                <w:lang w:eastAsia="zh-CN"/>
              </w:rPr>
              <w:t>一般工程</w:t>
            </w:r>
          </w:p>
        </w:tc>
        <w:tc>
          <w:tcPr>
            <w:tcW w:w="1005" w:type="dxa"/>
          </w:tcPr>
          <w:p>
            <w:pPr>
              <w:widowControl w:val="0"/>
              <w:shd w:val="clear"/>
              <w:spacing w:line="360" w:lineRule="exact"/>
              <w:jc w:val="left"/>
              <w:rPr>
                <w:rFonts w:hint="eastAsia" w:eastAsia="宋体"/>
                <w:sz w:val="28"/>
                <w:szCs w:val="28"/>
                <w:vertAlign w:val="baseline"/>
                <w:lang w:eastAsia="zh-CN"/>
              </w:rPr>
            </w:pPr>
            <w:r>
              <w:rPr>
                <w:rFonts w:hint="eastAsia" w:eastAsia="宋体"/>
                <w:sz w:val="28"/>
                <w:szCs w:val="28"/>
                <w:vertAlign w:val="baseline"/>
                <w:lang w:eastAsia="zh-CN"/>
              </w:rPr>
              <w:t>复杂工程</w:t>
            </w:r>
          </w:p>
        </w:tc>
        <w:tc>
          <w:tcPr>
            <w:tcW w:w="1260" w:type="dxa"/>
          </w:tcPr>
          <w:p>
            <w:pPr>
              <w:widowControl w:val="0"/>
              <w:shd w:val="clear"/>
              <w:spacing w:line="360" w:lineRule="exact"/>
              <w:rPr>
                <w:rFonts w:hint="eastAsia" w:eastAsia="宋体"/>
                <w:sz w:val="28"/>
                <w:szCs w:val="28"/>
                <w:vertAlign w:val="baseline"/>
                <w:lang w:eastAsia="zh-CN"/>
              </w:rPr>
            </w:pPr>
            <w:r>
              <w:rPr>
                <w:rFonts w:hint="eastAsia" w:eastAsia="宋体"/>
                <w:sz w:val="28"/>
                <w:szCs w:val="28"/>
                <w:vertAlign w:val="baseline"/>
                <w:lang w:eastAsia="zh-CN"/>
              </w:rPr>
              <w:t>特别复杂工程</w:t>
            </w:r>
          </w:p>
        </w:tc>
        <w:tc>
          <w:tcPr>
            <w:tcW w:w="1758" w:type="dxa"/>
            <w:vMerge w:val="continue"/>
          </w:tcPr>
          <w:p>
            <w:pPr>
              <w:widowControl w:val="0"/>
              <w:shd w:val="clear"/>
              <w:spacing w:line="360" w:lineRule="exact"/>
              <w:rPr>
                <w:rFonts w:hint="eastAsia"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CN"/>
              </w:rPr>
            </w:pPr>
            <w:r>
              <w:rPr>
                <w:rFonts w:hint="eastAsia" w:eastAsia="宋体"/>
                <w:sz w:val="28"/>
                <w:szCs w:val="28"/>
                <w:vertAlign w:val="baseline"/>
                <w:lang w:val="en-US" w:eastAsia="zh-CN"/>
              </w:rPr>
              <w:t>1</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200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8.10</w:t>
            </w:r>
          </w:p>
        </w:tc>
        <w:tc>
          <w:tcPr>
            <w:tcW w:w="975" w:type="dxa"/>
            <w:vMerge w:val="restart"/>
            <w:vAlign w:val="center"/>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0.85</w:t>
            </w:r>
          </w:p>
        </w:tc>
        <w:tc>
          <w:tcPr>
            <w:tcW w:w="930" w:type="dxa"/>
            <w:vMerge w:val="restart"/>
            <w:vAlign w:val="center"/>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1.0</w:t>
            </w:r>
          </w:p>
        </w:tc>
        <w:tc>
          <w:tcPr>
            <w:tcW w:w="1005" w:type="dxa"/>
            <w:vMerge w:val="restart"/>
            <w:vAlign w:val="center"/>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1.15</w:t>
            </w:r>
          </w:p>
        </w:tc>
        <w:tc>
          <w:tcPr>
            <w:tcW w:w="1260" w:type="dxa"/>
            <w:vMerge w:val="restart"/>
            <w:vAlign w:val="center"/>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1.3</w:t>
            </w:r>
          </w:p>
        </w:tc>
        <w:tc>
          <w:tcPr>
            <w:tcW w:w="1758" w:type="dxa"/>
            <w:vAlign w:val="center"/>
          </w:tcPr>
          <w:p>
            <w:pPr>
              <w:widowControl w:val="0"/>
              <w:shd w:val="clear" w:color="auto" w:fill="auto"/>
              <w:spacing w:line="360" w:lineRule="exact"/>
              <w:rPr>
                <w:rFonts w:hint="eastAsia" w:eastAsia="宋体"/>
                <w:sz w:val="28"/>
                <w:szCs w:val="28"/>
                <w:vertAlign w:val="baseline"/>
                <w:lang w:val="en-US" w:eastAsia="zh-CN"/>
              </w:rPr>
            </w:pPr>
            <w:r>
              <w:rPr>
                <w:rFonts w:hint="eastAsia" w:eastAsia="宋体"/>
                <w:sz w:val="28"/>
                <w:szCs w:val="28"/>
                <w:vertAlign w:val="baseline"/>
                <w:lang w:val="en-US" w:eastAsia="zh-CN"/>
              </w:rPr>
              <w:t xml:space="preserve">2.43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2</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500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18.81</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5.64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3</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1000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34.92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10.48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4</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3000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93.42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28.03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5</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5000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147.51</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44.25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6</w:t>
            </w:r>
          </w:p>
        </w:tc>
        <w:tc>
          <w:tcPr>
            <w:tcW w:w="1350" w:type="dxa"/>
          </w:tcPr>
          <w:p>
            <w:pPr>
              <w:widowControl w:val="0"/>
              <w:shd w:val="clear"/>
              <w:spacing w:line="360" w:lineRule="exact"/>
              <w:jc w:val="left"/>
              <w:rPr>
                <w:rFonts w:hint="default" w:eastAsia="宋体"/>
                <w:sz w:val="28"/>
                <w:szCs w:val="28"/>
                <w:vertAlign w:val="baseline"/>
                <w:lang w:val="en-US" w:eastAsia="zh-CN"/>
              </w:rPr>
            </w:pPr>
            <w:r>
              <w:rPr>
                <w:rFonts w:hint="eastAsia" w:eastAsia="宋体"/>
                <w:sz w:val="28"/>
                <w:szCs w:val="28"/>
                <w:vertAlign w:val="baseline"/>
                <w:lang w:val="en-US" w:eastAsia="zh-CN"/>
              </w:rPr>
              <w:t>8000</w:t>
            </w:r>
          </w:p>
        </w:tc>
        <w:tc>
          <w:tcPr>
            <w:tcW w:w="1287" w:type="dxa"/>
          </w:tcPr>
          <w:p>
            <w:pPr>
              <w:widowControl w:val="0"/>
              <w:shd w:val="clear"/>
              <w:spacing w:line="360" w:lineRule="exact"/>
              <w:jc w:val="left"/>
              <w:rPr>
                <w:rFonts w:hint="default" w:eastAsia="宋体"/>
                <w:sz w:val="28"/>
                <w:szCs w:val="28"/>
                <w:vertAlign w:val="baseline"/>
                <w:lang w:val="en-US" w:eastAsia="zh-CN"/>
              </w:rPr>
            </w:pPr>
            <w:r>
              <w:rPr>
                <w:rFonts w:hint="eastAsia" w:eastAsia="宋体"/>
                <w:sz w:val="28"/>
                <w:szCs w:val="28"/>
                <w:vertAlign w:val="baseline"/>
                <w:lang w:val="en-US" w:eastAsia="zh-CN"/>
              </w:rPr>
              <w:t>224.64</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67.39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7</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10000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274.32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82.30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8</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20000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510.12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153.04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eastAsia" w:eastAsia="宋体"/>
                <w:sz w:val="28"/>
                <w:szCs w:val="28"/>
                <w:vertAlign w:val="baseline"/>
                <w:lang w:val="en-US" w:eastAsia="zh-CN"/>
              </w:rPr>
            </w:pPr>
            <w:r>
              <w:rPr>
                <w:rFonts w:hint="eastAsia" w:eastAsia="宋体"/>
                <w:sz w:val="28"/>
                <w:szCs w:val="28"/>
                <w:vertAlign w:val="baseline"/>
                <w:lang w:val="en-US" w:eastAsia="zh-CN"/>
              </w:rPr>
              <w:t>9</w:t>
            </w:r>
          </w:p>
        </w:tc>
        <w:tc>
          <w:tcPr>
            <w:tcW w:w="1350"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40000</w:t>
            </w:r>
          </w:p>
        </w:tc>
        <w:tc>
          <w:tcPr>
            <w:tcW w:w="1287"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en-US"/>
              </w:rPr>
              <w:t>948.60</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284.58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10</w:t>
            </w:r>
          </w:p>
        </w:tc>
        <w:tc>
          <w:tcPr>
            <w:tcW w:w="1350"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zh-CN"/>
              </w:rPr>
              <w:t>60000</w:t>
            </w:r>
          </w:p>
        </w:tc>
        <w:tc>
          <w:tcPr>
            <w:tcW w:w="1287"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en-US"/>
              </w:rPr>
              <w:t>1363.68</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409.10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11</w:t>
            </w:r>
          </w:p>
        </w:tc>
        <w:tc>
          <w:tcPr>
            <w:tcW w:w="1350"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zh-CN"/>
              </w:rPr>
              <w:t>80000</w:t>
            </w:r>
          </w:p>
        </w:tc>
        <w:tc>
          <w:tcPr>
            <w:tcW w:w="1287"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en-US"/>
              </w:rPr>
              <w:t>1764.09</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529.23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12</w:t>
            </w:r>
          </w:p>
        </w:tc>
        <w:tc>
          <w:tcPr>
            <w:tcW w:w="1350"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zh-CN"/>
              </w:rPr>
              <w:t>100000</w:t>
            </w:r>
          </w:p>
        </w:tc>
        <w:tc>
          <w:tcPr>
            <w:tcW w:w="1287"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en-US"/>
              </w:rPr>
              <w:t>2154.06</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646.22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13</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200000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4005.72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1201.72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14</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400000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7449.03</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2234.71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15</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600000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10707.75</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3212.33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16</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800000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13852.26</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4155.68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17</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1000000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16914.42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5074.33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18</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2000000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31454.01</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9436.20 </w:t>
            </w:r>
          </w:p>
        </w:tc>
      </w:tr>
    </w:tbl>
    <w:p>
      <w:pPr>
        <w:pStyle w:val="4"/>
        <w:keepNext w:val="0"/>
        <w:keepLines w:val="0"/>
        <w:widowControl/>
        <w:suppressLineNumbers w:val="0"/>
        <w:spacing w:before="0" w:beforeAutospacing="0" w:after="0" w:afterAutospacing="0"/>
        <w:ind w:right="0"/>
        <w:rPr>
          <w:sz w:val="28"/>
          <w:szCs w:val="28"/>
        </w:rPr>
      </w:pPr>
      <w:r>
        <w:rPr>
          <w:rFonts w:hint="eastAsia"/>
          <w:sz w:val="28"/>
          <w:szCs w:val="28"/>
          <w:lang w:eastAsia="zh-CN"/>
        </w:rPr>
        <w:t>注：</w:t>
      </w:r>
      <w:r>
        <w:rPr>
          <w:rFonts w:hint="eastAsia"/>
          <w:sz w:val="28"/>
          <w:szCs w:val="28"/>
          <w:lang w:val="en-US" w:eastAsia="zh-CN"/>
        </w:rPr>
        <w:t>计费额＞2000000万元的，以计费额乘以1.45%的收费率计算</w:t>
      </w:r>
      <w:r>
        <w:rPr>
          <w:sz w:val="28"/>
          <w:szCs w:val="28"/>
        </w:rPr>
        <w:t>收费基价。</w:t>
      </w:r>
    </w:p>
    <w:p>
      <w:pPr>
        <w:pStyle w:val="4"/>
        <w:keepNext w:val="0"/>
        <w:keepLines w:val="0"/>
        <w:widowControl/>
        <w:suppressLineNumbers w:val="0"/>
        <w:spacing w:before="0" w:beforeAutospacing="0" w:after="0" w:afterAutospacing="0"/>
        <w:ind w:right="0" w:firstLine="560" w:firstLineChars="200"/>
        <w:rPr>
          <w:sz w:val="28"/>
          <w:szCs w:val="28"/>
        </w:rPr>
      </w:pPr>
      <w:r>
        <w:rPr>
          <w:sz w:val="28"/>
          <w:szCs w:val="28"/>
        </w:rPr>
        <w:t>工程设计费按照工程费用分档计算，工程费用处于两个数值区间的，采用直线内插法计算。计算公式如下</w:t>
      </w:r>
      <w:r>
        <w:rPr>
          <w:rFonts w:hint="eastAsia"/>
          <w:sz w:val="28"/>
          <w:szCs w:val="28"/>
          <w:lang w:eastAsia="zh-CN"/>
        </w:rPr>
        <w:t>：</w:t>
      </w:r>
      <w:r>
        <w:rPr>
          <w:sz w:val="28"/>
          <w:szCs w:val="28"/>
        </w:rPr>
        <w:t>基本设计费=工程设计计费基价</w:t>
      </w:r>
      <w:r>
        <w:rPr>
          <w:rFonts w:hint="eastAsia"/>
          <w:sz w:val="28"/>
          <w:szCs w:val="28"/>
          <w:lang w:val="en-US" w:eastAsia="zh-CN"/>
        </w:rPr>
        <w:t>×</w:t>
      </w:r>
      <w:r>
        <w:rPr>
          <w:sz w:val="28"/>
          <w:szCs w:val="28"/>
        </w:rPr>
        <w:t>专业调整系数</w:t>
      </w:r>
      <w:r>
        <w:rPr>
          <w:rFonts w:hint="eastAsia"/>
          <w:sz w:val="28"/>
          <w:szCs w:val="28"/>
          <w:lang w:val="en-US" w:eastAsia="zh-CN"/>
        </w:rPr>
        <w:t>×</w:t>
      </w:r>
      <w:r>
        <w:rPr>
          <w:sz w:val="28"/>
          <w:szCs w:val="28"/>
        </w:rPr>
        <w:t>工程复杂程度调整系数</w:t>
      </w:r>
      <w:r>
        <w:rPr>
          <w:rFonts w:hint="eastAsia"/>
          <w:sz w:val="28"/>
          <w:szCs w:val="28"/>
          <w:lang w:val="en-US" w:eastAsia="zh-CN"/>
        </w:rPr>
        <w:t>×</w:t>
      </w:r>
      <w:r>
        <w:rPr>
          <w:sz w:val="28"/>
          <w:szCs w:val="28"/>
        </w:rPr>
        <w:t>（</w:t>
      </w:r>
      <w:r>
        <w:rPr>
          <w:rFonts w:hint="eastAsia"/>
          <w:sz w:val="28"/>
          <w:szCs w:val="28"/>
          <w:lang w:val="en-US" w:eastAsia="zh-CN"/>
        </w:rPr>
        <w:t>1</w:t>
      </w:r>
      <w:r>
        <w:rPr>
          <w:sz w:val="28"/>
          <w:szCs w:val="28"/>
        </w:rPr>
        <w:t>+附加调整系数）</w:t>
      </w:r>
    </w:p>
    <w:p>
      <w:pPr>
        <w:pStyle w:val="4"/>
        <w:keepNext w:val="0"/>
        <w:keepLines w:val="0"/>
        <w:widowControl/>
        <w:suppressLineNumbers w:val="0"/>
        <w:spacing w:before="0" w:beforeAutospacing="0" w:after="0" w:afterAutospacing="0"/>
        <w:ind w:left="0" w:right="0" w:firstLine="560" w:firstLineChars="200"/>
        <w:rPr>
          <w:sz w:val="28"/>
          <w:szCs w:val="28"/>
        </w:rPr>
      </w:pPr>
      <w:r>
        <w:rPr>
          <w:sz w:val="28"/>
          <w:szCs w:val="28"/>
        </w:rPr>
        <w:t>专业调整系数</w:t>
      </w:r>
      <w:r>
        <w:rPr>
          <w:rFonts w:hint="eastAsia"/>
          <w:sz w:val="28"/>
          <w:szCs w:val="28"/>
          <w:lang w:eastAsia="zh-CN"/>
        </w:rPr>
        <w:t>：</w:t>
      </w:r>
      <w:r>
        <w:rPr>
          <w:sz w:val="28"/>
          <w:szCs w:val="28"/>
        </w:rPr>
        <w:t>邮政工艺工程按0.8，建筑、市政、电信工程按1.0</w:t>
      </w:r>
      <w:r>
        <w:rPr>
          <w:rFonts w:hint="eastAsia"/>
          <w:sz w:val="28"/>
          <w:szCs w:val="28"/>
          <w:lang w:eastAsia="zh-CN"/>
        </w:rPr>
        <w:t>，</w:t>
      </w:r>
      <w:r>
        <w:rPr>
          <w:sz w:val="28"/>
          <w:szCs w:val="28"/>
        </w:rPr>
        <w:t>人防、园林绿化、广电工艺工程按</w:t>
      </w:r>
      <w:r>
        <w:rPr>
          <w:rFonts w:hint="eastAsia"/>
          <w:sz w:val="28"/>
          <w:szCs w:val="28"/>
          <w:lang w:val="en-US" w:eastAsia="zh-CN"/>
        </w:rPr>
        <w:t>1.1</w:t>
      </w:r>
      <w:r>
        <w:rPr>
          <w:sz w:val="28"/>
          <w:szCs w:val="28"/>
        </w:rPr>
        <w:t>计算。</w:t>
      </w:r>
    </w:p>
    <w:p>
      <w:pPr>
        <w:pStyle w:val="4"/>
        <w:keepNext w:val="0"/>
        <w:keepLines w:val="0"/>
        <w:widowControl/>
        <w:suppressLineNumbers w:val="0"/>
        <w:spacing w:before="0" w:beforeAutospacing="0" w:after="0" w:afterAutospacing="0"/>
        <w:ind w:left="0" w:right="0" w:firstLine="560" w:firstLineChars="200"/>
        <w:rPr>
          <w:rFonts w:hint="eastAsia" w:eastAsia="宋体"/>
          <w:sz w:val="28"/>
          <w:szCs w:val="28"/>
          <w:lang w:eastAsia="zh-CN"/>
        </w:rPr>
      </w:pPr>
      <w:r>
        <w:rPr>
          <w:sz w:val="28"/>
          <w:szCs w:val="28"/>
        </w:rPr>
        <w:t>工程复杂程度调整系数是不同工程复杂程度对设计单位基本服务成本基数影响程度的调整系数的分析数据工程复杂程度调整系数取定</w:t>
      </w:r>
      <w:r>
        <w:rPr>
          <w:rFonts w:hint="eastAsia"/>
          <w:sz w:val="28"/>
          <w:szCs w:val="28"/>
          <w:lang w:eastAsia="zh-CN"/>
        </w:rPr>
        <w:t>。</w:t>
      </w:r>
    </w:p>
    <w:p>
      <w:pPr>
        <w:pStyle w:val="4"/>
        <w:keepNext w:val="0"/>
        <w:keepLines w:val="0"/>
        <w:widowControl/>
        <w:suppressLineNumbers w:val="0"/>
        <w:spacing w:before="0" w:beforeAutospacing="0" w:after="0" w:afterAutospacing="0"/>
        <w:ind w:left="0" w:right="0" w:firstLine="560" w:firstLineChars="200"/>
        <w:rPr>
          <w:sz w:val="28"/>
          <w:szCs w:val="28"/>
        </w:rPr>
      </w:pPr>
      <w:r>
        <w:rPr>
          <w:sz w:val="28"/>
          <w:szCs w:val="28"/>
        </w:rPr>
        <w:t>附加调整系数</w:t>
      </w:r>
      <w:r>
        <w:rPr>
          <w:rFonts w:hint="eastAsia"/>
          <w:sz w:val="28"/>
          <w:szCs w:val="28"/>
          <w:lang w:eastAsia="zh-CN"/>
        </w:rPr>
        <w:t>：</w:t>
      </w:r>
      <w:r>
        <w:rPr>
          <w:sz w:val="28"/>
          <w:szCs w:val="28"/>
        </w:rPr>
        <w:t>改扩建和技术改造建设项目按0</w:t>
      </w:r>
      <w:r>
        <w:rPr>
          <w:rFonts w:hint="eastAsia"/>
          <w:sz w:val="28"/>
          <w:szCs w:val="28"/>
          <w:lang w:val="en-US" w:eastAsia="zh-CN"/>
        </w:rPr>
        <w:t>.</w:t>
      </w:r>
      <w:r>
        <w:rPr>
          <w:sz w:val="28"/>
          <w:szCs w:val="28"/>
        </w:rPr>
        <w:t>1～0.4计算;古建筑、仿古建筑、保护性建筑等，根据实际情况按0.3～0.6 计算;智能建筑弱电系统设计，以弱电系统的设计概算为计费额按0.3 计算;室内装修设计</w:t>
      </w:r>
      <w:r>
        <w:rPr>
          <w:rFonts w:hint="eastAsia"/>
          <w:sz w:val="28"/>
          <w:szCs w:val="28"/>
          <w:lang w:eastAsia="zh-CN"/>
        </w:rPr>
        <w:t>，</w:t>
      </w:r>
      <w:r>
        <w:rPr>
          <w:sz w:val="28"/>
          <w:szCs w:val="28"/>
        </w:rPr>
        <w:t>以室内装修的设计概</w:t>
      </w:r>
      <w:r>
        <w:rPr>
          <w:rFonts w:hint="eastAsia"/>
          <w:sz w:val="28"/>
          <w:szCs w:val="28"/>
          <w:lang w:eastAsia="zh-CN"/>
        </w:rPr>
        <w:t>算</w:t>
      </w:r>
      <w:r>
        <w:rPr>
          <w:sz w:val="28"/>
          <w:szCs w:val="28"/>
        </w:rPr>
        <w:t>为计费额按0.5计</w:t>
      </w:r>
      <w:r>
        <w:rPr>
          <w:rFonts w:hint="eastAsia"/>
          <w:sz w:val="28"/>
          <w:szCs w:val="28"/>
          <w:lang w:eastAsia="zh-CN"/>
        </w:rPr>
        <w:t>算</w:t>
      </w:r>
      <w:r>
        <w:rPr>
          <w:sz w:val="28"/>
          <w:szCs w:val="28"/>
        </w:rPr>
        <w:t>;特殊声学装修设计，以声学装修的设计概算为计费额按1.0 计算</w:t>
      </w:r>
      <w:r>
        <w:rPr>
          <w:rFonts w:hint="eastAsia"/>
          <w:sz w:val="28"/>
          <w:szCs w:val="28"/>
          <w:lang w:eastAsia="zh-CN"/>
        </w:rPr>
        <w:t>；</w:t>
      </w:r>
      <w:r>
        <w:rPr>
          <w:sz w:val="28"/>
          <w:szCs w:val="28"/>
        </w:rPr>
        <w:t>附加调整系数为两个或两个以上的，附加调整系数相加。</w:t>
      </w:r>
    </w:p>
    <w:p>
      <w:pPr>
        <w:numPr>
          <w:ilvl w:val="0"/>
          <w:numId w:val="0"/>
        </w:numPr>
        <w:spacing w:line="360" w:lineRule="auto"/>
        <w:ind w:firstLine="602" w:firstLineChars="200"/>
        <w:rPr>
          <w:rFonts w:hint="eastAsia" w:ascii="Times New Roman"/>
          <w:b/>
          <w:bCs/>
          <w:color w:val="000000"/>
          <w:sz w:val="30"/>
          <w:szCs w:val="30"/>
          <w:lang w:eastAsia="zh-CN"/>
        </w:rPr>
      </w:pPr>
      <w:r>
        <w:rPr>
          <w:rFonts w:hint="eastAsia" w:ascii="Times New Roman"/>
          <w:b/>
          <w:bCs/>
          <w:color w:val="000000"/>
          <w:sz w:val="30"/>
          <w:szCs w:val="30"/>
          <w:lang w:eastAsia="zh-CN"/>
        </w:rPr>
        <w:t>五、工程招标采购咨询（含管理）</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（一）</w:t>
      </w:r>
      <w:r>
        <w:rPr>
          <w:rFonts w:hint="eastAsia" w:ascii="Times New Roman"/>
          <w:b/>
          <w:bCs/>
          <w:color w:val="000000"/>
          <w:sz w:val="28"/>
          <w:szCs w:val="28"/>
          <w:lang w:eastAsia="zh-CN"/>
        </w:rPr>
        <w:t>勘察、设计、施工、监理、检测、造价咨询等招标代理</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1、</w:t>
      </w:r>
      <w:r>
        <w:rPr>
          <w:rFonts w:hint="eastAsia" w:ascii="Times New Roman"/>
          <w:b/>
          <w:bCs/>
          <w:color w:val="000000"/>
          <w:sz w:val="28"/>
          <w:szCs w:val="28"/>
          <w:lang w:eastAsia="zh-CN"/>
        </w:rPr>
        <w:t>主要工作内容：</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①工程咨询方应根据全过程工程咨询合同，开展勘察、设计、施工、监理、检测、造价咨询等招标代理工作。</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②工程咨询方应进行工程监理招标策划，并应协助委托方划分工程监理标段和选择工程监理招标方式。</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③工程咨询方应协助委托方合理设定工程监理投标条件，并应编制和发布招标公告或发出投标邀请书。</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④工程监理招标设有资格预审环节的，工程咨询方应组织工程监理投标资格预审。</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8"/>
          <w:szCs w:val="28"/>
          <w:lang w:val="en-US" w:eastAsia="zh-CN"/>
        </w:rPr>
        <w:t>⑤</w:t>
      </w:r>
      <w:r>
        <w:rPr>
          <w:rFonts w:hint="eastAsia" w:ascii="Times New Roman"/>
          <w:color w:val="000000"/>
          <w:sz w:val="28"/>
          <w:szCs w:val="28"/>
          <w:lang w:eastAsia="zh-CN"/>
        </w:rPr>
        <w:t>工程咨询方应协助委托方选定工程监理合同示范文本和制定合同主要条款，并应编制和发出工程监理招标文件。</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8"/>
          <w:szCs w:val="28"/>
          <w:lang w:val="en-US" w:eastAsia="zh-CN"/>
        </w:rPr>
        <w:t>⑥</w:t>
      </w:r>
      <w:r>
        <w:rPr>
          <w:rFonts w:hint="eastAsia" w:ascii="Times New Roman"/>
          <w:color w:val="000000"/>
          <w:sz w:val="28"/>
          <w:szCs w:val="28"/>
          <w:lang w:eastAsia="zh-CN"/>
        </w:rPr>
        <w:t>工程咨询方应遵循“基于能力的选择”原则，组织评标委员会按照招标文件中确定的评标方法进行工程监理评标，不得选取低于成本价的投标者中标。</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8"/>
          <w:szCs w:val="28"/>
          <w:lang w:val="en-US" w:eastAsia="zh-CN"/>
        </w:rPr>
        <w:t>⑦</w:t>
      </w:r>
      <w:r>
        <w:rPr>
          <w:rFonts w:hint="eastAsia" w:ascii="Times New Roman"/>
          <w:color w:val="000000"/>
          <w:sz w:val="28"/>
          <w:szCs w:val="28"/>
          <w:lang w:eastAsia="zh-CN"/>
        </w:rPr>
        <w:t>工程咨询方应协助委托方与拟中标监理单位进行合同谈判，并应协助委托方签订工程监理合同。</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8"/>
          <w:szCs w:val="28"/>
          <w:lang w:val="en-US" w:eastAsia="zh-CN"/>
        </w:rPr>
        <w:t>⑧</w:t>
      </w:r>
      <w:r>
        <w:rPr>
          <w:rFonts w:hint="eastAsia" w:ascii="Times New Roman"/>
          <w:color w:val="000000"/>
          <w:sz w:val="28"/>
          <w:szCs w:val="28"/>
          <w:lang w:eastAsia="zh-CN"/>
        </w:rPr>
        <w:t>工程咨询方应进行工程施工招标策划，并应协助委托方合理设定施工合同边界和划分工程施工标段，选择工程施工招标方式。</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⑨工程咨询方应协助委托方合理设定工程施工投标条件，并应编制和发布招标公告或发出投标邀请书。</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⑩工程施工招标设有资格预审环节的，工程咨询方应组织工程施工投标资格预审。</w:t>
      </w:r>
    </w:p>
    <w:p>
      <w:pPr>
        <w:numPr>
          <w:ilvl w:val="0"/>
          <w:numId w:val="0"/>
        </w:numPr>
        <w:spacing w:line="360" w:lineRule="auto"/>
        <w:ind w:firstLine="42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,11)</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color w:val="000000"/>
          <w:sz w:val="28"/>
          <w:szCs w:val="28"/>
          <w:lang w:eastAsia="zh-CN"/>
        </w:rPr>
        <w:t>工程咨询方应按照工程量清单计价标准要求编制工程量清单，并应合理设定暂估价项目，避免产生不平衡报价和重大偏差项目。</w:t>
      </w:r>
    </w:p>
    <w:p>
      <w:pPr>
        <w:numPr>
          <w:ilvl w:val="0"/>
          <w:numId w:val="0"/>
        </w:numPr>
        <w:spacing w:line="360" w:lineRule="auto"/>
        <w:ind w:firstLine="48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,12)</w:instrText>
      </w:r>
      <w:r>
        <w:rPr>
          <w:rFonts w:hint="eastAsia" w:ascii="Times New Roman" w:hAnsi="Calibri" w:eastAsia="宋体" w:cs="Times New Roman"/>
          <w:color w:val="000000"/>
          <w:kern w:val="2"/>
          <w:sz w:val="24"/>
          <w:szCs w:val="24"/>
          <w:lang w:val="en-US" w:eastAsia="zh-CN"/>
        </w:rPr>
        <w:fldChar w:fldCharType="end"/>
      </w:r>
      <w:r>
        <w:rPr>
          <w:rFonts w:hint="eastAsia" w:ascii="Times New Roman"/>
          <w:color w:val="000000"/>
          <w:sz w:val="28"/>
          <w:szCs w:val="28"/>
          <w:lang w:eastAsia="zh-CN"/>
        </w:rPr>
        <w:t>工程咨询方应协助委托方选定工程施工合同示范文本和制定合同主要条款，并应编制和发出工程施工招标文件。</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val="en-US" w:eastAsia="zh-CN"/>
        </w:rPr>
        <w:fldChar w:fldCharType="begin"/>
      </w:r>
      <w:r>
        <w:rPr>
          <w:rFonts w:hint="eastAsia" w:ascii="Times New Roman"/>
          <w:color w:val="000000"/>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color w:val="000000"/>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13</w:instrText>
      </w:r>
      <w:r>
        <w:rPr>
          <w:rFonts w:hint="eastAsia" w:ascii="Times New Roman"/>
          <w:color w:val="000000"/>
          <w:sz w:val="28"/>
          <w:szCs w:val="28"/>
          <w:lang w:val="en-US" w:eastAsia="zh-CN"/>
        </w:rPr>
        <w:instrText xml:space="preserve">)</w:instrText>
      </w:r>
      <w:r>
        <w:rPr>
          <w:rFonts w:hint="eastAsia" w:ascii="Times New Roman"/>
          <w:color w:val="000000"/>
          <w:sz w:val="28"/>
          <w:szCs w:val="28"/>
          <w:lang w:val="en-US" w:eastAsia="zh-CN"/>
        </w:rPr>
        <w:fldChar w:fldCharType="end"/>
      </w:r>
      <w:r>
        <w:rPr>
          <w:rFonts w:hint="eastAsia" w:ascii="Times New Roman"/>
          <w:color w:val="000000"/>
          <w:sz w:val="28"/>
          <w:szCs w:val="28"/>
          <w:lang w:eastAsia="zh-CN"/>
        </w:rPr>
        <w:t>工程咨询方应合理设定工程款支付条件，重点关注安全文明施工费使用支付条款、奖罚条款、工程质量保证条款等。</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val="en-US" w:eastAsia="zh-CN"/>
        </w:rPr>
        <w:fldChar w:fldCharType="begin"/>
      </w:r>
      <w:r>
        <w:rPr>
          <w:rFonts w:hint="eastAsia" w:ascii="Times New Roman"/>
          <w:color w:val="000000"/>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color w:val="000000"/>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14</w:instrText>
      </w:r>
      <w:r>
        <w:rPr>
          <w:rFonts w:hint="eastAsia" w:ascii="Times New Roman"/>
          <w:color w:val="000000"/>
          <w:sz w:val="28"/>
          <w:szCs w:val="28"/>
          <w:lang w:val="en-US" w:eastAsia="zh-CN"/>
        </w:rPr>
        <w:instrText xml:space="preserve">)</w:instrText>
      </w:r>
      <w:r>
        <w:rPr>
          <w:rFonts w:hint="eastAsia" w:ascii="Times New Roman"/>
          <w:color w:val="000000"/>
          <w:sz w:val="28"/>
          <w:szCs w:val="28"/>
          <w:lang w:val="en-US" w:eastAsia="zh-CN"/>
        </w:rPr>
        <w:fldChar w:fldCharType="end"/>
      </w:r>
      <w:r>
        <w:rPr>
          <w:rFonts w:hint="eastAsia" w:ascii="Times New Roman"/>
          <w:color w:val="000000"/>
          <w:sz w:val="28"/>
          <w:szCs w:val="28"/>
          <w:lang w:eastAsia="zh-CN"/>
        </w:rPr>
        <w:t>工程咨询方应组织评标委员会按照招标文件中确定的评标方法进行工程施工评标（含清标），不得选取低于成本价的投标者中标。</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val="en-US" w:eastAsia="zh-CN"/>
        </w:rPr>
        <w:fldChar w:fldCharType="begin"/>
      </w:r>
      <w:r>
        <w:rPr>
          <w:rFonts w:hint="eastAsia" w:ascii="Times New Roman"/>
          <w:color w:val="000000"/>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color w:val="000000"/>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15</w:instrText>
      </w:r>
      <w:r>
        <w:rPr>
          <w:rFonts w:hint="eastAsia" w:ascii="Times New Roman"/>
          <w:color w:val="000000"/>
          <w:sz w:val="28"/>
          <w:szCs w:val="28"/>
          <w:lang w:val="en-US" w:eastAsia="zh-CN"/>
        </w:rPr>
        <w:instrText xml:space="preserve">)</w:instrText>
      </w:r>
      <w:r>
        <w:rPr>
          <w:rFonts w:hint="eastAsia" w:ascii="Times New Roman"/>
          <w:color w:val="000000"/>
          <w:sz w:val="28"/>
          <w:szCs w:val="28"/>
          <w:lang w:val="en-US" w:eastAsia="zh-CN"/>
        </w:rPr>
        <w:fldChar w:fldCharType="end"/>
      </w:r>
      <w:r>
        <w:rPr>
          <w:rFonts w:hint="eastAsia" w:ascii="Times New Roman"/>
          <w:color w:val="000000"/>
          <w:sz w:val="28"/>
          <w:szCs w:val="28"/>
          <w:lang w:eastAsia="zh-CN"/>
        </w:rPr>
        <w:t>工程咨询方应协助委托方与拟中标施工单位进行合同谈判，并应协助委托方签订工程施工合同。</w:t>
      </w:r>
    </w:p>
    <w:p>
      <w:pPr>
        <w:numPr>
          <w:ilvl w:val="0"/>
          <w:numId w:val="0"/>
        </w:numPr>
        <w:spacing w:line="360" w:lineRule="auto"/>
        <w:ind w:firstLine="562" w:firstLineChars="200"/>
        <w:rPr>
          <w:rFonts w:hint="default" w:ascii="Times New Roman" w:cs="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参考《桂建标〔2018〕37号》的招标代理服务费。</w:t>
      </w:r>
    </w:p>
    <w:tbl>
      <w:tblPr>
        <w:tblStyle w:val="5"/>
        <w:tblW w:w="8586" w:type="dxa"/>
        <w:jc w:val="center"/>
        <w:tblLayout w:type="fixed"/>
        <w:tblCellMar>
          <w:top w:w="0" w:type="dxa"/>
          <w:left w:w="10" w:type="dxa"/>
          <w:bottom w:w="0" w:type="dxa"/>
          <w:right w:w="10" w:type="dxa"/>
        </w:tblCellMar>
      </w:tblPr>
      <w:tblGrid>
        <w:gridCol w:w="3347"/>
        <w:gridCol w:w="1872"/>
        <w:gridCol w:w="1755"/>
        <w:gridCol w:w="1612"/>
      </w:tblGrid>
      <w:tr>
        <w:tblPrEx>
          <w:tblCellMar>
            <w:top w:w="0" w:type="dxa"/>
            <w:left w:w="10" w:type="dxa"/>
            <w:bottom w:w="0" w:type="dxa"/>
            <w:right w:w="10" w:type="dxa"/>
          </w:tblCellMar>
        </w:tblPrEx>
        <w:trPr>
          <w:trHeight w:val="565" w:hRule="exact"/>
          <w:jc w:val="center"/>
        </w:trPr>
        <w:tc>
          <w:tcPr>
            <w:tcW w:w="3347"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费用（万</w:t>
            </w:r>
            <w:r>
              <w:rPr>
                <w:rFonts w:hint="eastAsia" w:ascii="宋体" w:hAnsi="宋体" w:cs="宋体"/>
                <w:color w:val="000000"/>
                <w:spacing w:val="0"/>
                <w:w w:val="100"/>
                <w:position w:val="0"/>
                <w:sz w:val="28"/>
                <w:szCs w:val="28"/>
                <w:lang w:val="zh-TW" w:eastAsia="zh-CN" w:bidi="zh-TW"/>
              </w:rPr>
              <w:t>元</w:t>
            </w:r>
            <w:r>
              <w:rPr>
                <w:rFonts w:ascii="宋体" w:hAnsi="宋体" w:eastAsia="宋体" w:cs="宋体"/>
                <w:color w:val="000000"/>
                <w:spacing w:val="0"/>
                <w:w w:val="100"/>
                <w:position w:val="0"/>
                <w:sz w:val="28"/>
                <w:szCs w:val="28"/>
                <w:lang w:val="zh-TW" w:eastAsia="zh-TW" w:bidi="zh-TW"/>
              </w:rPr>
              <w:t>）</w:t>
            </w:r>
          </w:p>
        </w:tc>
        <w:tc>
          <w:tcPr>
            <w:tcW w:w="5239"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宋体" w:hAnsi="宋体" w:eastAsia="宋体" w:cs="宋体"/>
                <w:color w:val="000000"/>
                <w:spacing w:val="0"/>
                <w:w w:val="100"/>
                <w:position w:val="0"/>
                <w:sz w:val="28"/>
                <w:szCs w:val="28"/>
                <w:lang w:val="zh-TW" w:eastAsia="zh-TW" w:bidi="zh-TW"/>
              </w:rPr>
              <w:t>服务类型费率（</w:t>
            </w:r>
            <w:r>
              <w:rPr>
                <w:rFonts w:hint="eastAsia" w:ascii="宋体" w:hAnsi="宋体" w:cs="宋体"/>
                <w:color w:val="000000"/>
                <w:spacing w:val="0"/>
                <w:w w:val="100"/>
                <w:position w:val="0"/>
                <w:sz w:val="28"/>
                <w:szCs w:val="28"/>
                <w:lang w:val="en-US" w:eastAsia="zh-CN" w:bidi="zh-TW"/>
              </w:rPr>
              <w:t>%</w:t>
            </w:r>
            <w:r>
              <w:rPr>
                <w:rFonts w:ascii="宋体" w:hAnsi="宋体" w:eastAsia="宋体" w:cs="宋体"/>
                <w:color w:val="000000"/>
                <w:spacing w:val="0"/>
                <w:w w:val="100"/>
                <w:position w:val="0"/>
                <w:sz w:val="28"/>
                <w:szCs w:val="28"/>
                <w:lang w:val="zh-TW" w:eastAsia="zh-TW" w:bidi="zh-TW"/>
              </w:rPr>
              <w:t>）</w:t>
            </w:r>
          </w:p>
        </w:tc>
      </w:tr>
      <w:tr>
        <w:tblPrEx>
          <w:tblCellMar>
            <w:top w:w="0" w:type="dxa"/>
            <w:left w:w="10" w:type="dxa"/>
            <w:bottom w:w="0" w:type="dxa"/>
            <w:right w:w="10" w:type="dxa"/>
          </w:tblCellMar>
        </w:tblPrEx>
        <w:trPr>
          <w:trHeight w:val="565" w:hRule="exact"/>
          <w:jc w:val="center"/>
        </w:trPr>
        <w:tc>
          <w:tcPr>
            <w:tcW w:w="3347" w:type="dxa"/>
            <w:vMerge w:val="continue"/>
            <w:tcBorders>
              <w:left w:val="single" w:color="auto" w:sz="4" w:space="0"/>
              <w:bottom w:val="single" w:color="auto" w:sz="4" w:space="0"/>
            </w:tcBorders>
            <w:shd w:val="clear" w:color="auto" w:fill="FFFFFF"/>
            <w:vAlign w:val="center"/>
          </w:tcPr>
          <w:p>
            <w:pPr>
              <w:rPr>
                <w:sz w:val="28"/>
                <w:szCs w:val="28"/>
              </w:rPr>
            </w:pP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宋体" w:hAnsi="宋体" w:eastAsia="宋体" w:cs="宋体"/>
                <w:color w:val="000000"/>
                <w:spacing w:val="0"/>
                <w:w w:val="100"/>
                <w:position w:val="0"/>
                <w:sz w:val="28"/>
                <w:szCs w:val="28"/>
                <w:lang w:val="zh-TW" w:eastAsia="zh-TW" w:bidi="zh-TW"/>
              </w:rPr>
              <w:t>工程招标</w:t>
            </w:r>
          </w:p>
        </w:tc>
        <w:tc>
          <w:tcPr>
            <w:tcW w:w="17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宋体" w:hAnsi="宋体" w:eastAsia="宋体" w:cs="宋体"/>
                <w:color w:val="000000"/>
                <w:spacing w:val="0"/>
                <w:w w:val="100"/>
                <w:position w:val="0"/>
                <w:sz w:val="28"/>
                <w:szCs w:val="28"/>
                <w:lang w:val="zh-TW" w:eastAsia="zh-TW" w:bidi="zh-TW"/>
              </w:rPr>
              <w:t>货物招标</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宋体" w:hAnsi="宋体" w:eastAsia="宋体" w:cs="宋体"/>
                <w:color w:val="000000"/>
                <w:spacing w:val="0"/>
                <w:w w:val="100"/>
                <w:position w:val="0"/>
                <w:sz w:val="28"/>
                <w:szCs w:val="28"/>
                <w:lang w:val="zh-TW" w:eastAsia="zh-TW" w:bidi="zh-TW"/>
              </w:rPr>
              <w:t>服务招标</w:t>
            </w:r>
          </w:p>
        </w:tc>
      </w:tr>
      <w:tr>
        <w:tblPrEx>
          <w:tblCellMar>
            <w:top w:w="0" w:type="dxa"/>
            <w:left w:w="10" w:type="dxa"/>
            <w:bottom w:w="0" w:type="dxa"/>
            <w:right w:w="10" w:type="dxa"/>
          </w:tblCellMar>
        </w:tblPrEx>
        <w:trPr>
          <w:trHeight w:val="551" w:hRule="exact"/>
          <w:jc w:val="center"/>
        </w:trPr>
        <w:tc>
          <w:tcPr>
            <w:tcW w:w="33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w:t>
            </w:r>
            <w:r>
              <w:rPr>
                <w:rFonts w:ascii="宋体" w:hAnsi="宋体" w:eastAsia="宋体" w:cs="宋体"/>
                <w:color w:val="000000"/>
                <w:spacing w:val="0"/>
                <w:w w:val="100"/>
                <w:position w:val="0"/>
                <w:sz w:val="28"/>
                <w:szCs w:val="28"/>
                <w:lang w:val="zh-TW" w:eastAsia="zh-TW" w:bidi="zh-TW"/>
              </w:rPr>
              <w:t>以下</w:t>
            </w: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6.300</w:t>
            </w:r>
          </w:p>
        </w:tc>
        <w:tc>
          <w:tcPr>
            <w:tcW w:w="17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9.450</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auto"/>
                <w:spacing w:val="0"/>
                <w:w w:val="100"/>
                <w:position w:val="0"/>
                <w:sz w:val="28"/>
                <w:szCs w:val="28"/>
                <w:lang w:val="en-US" w:eastAsia="en-US" w:bidi="en-US"/>
              </w:rPr>
              <w:t>9.450</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w:t>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zh-TW" w:eastAsia="zh-TW" w:bidi="zh-TW"/>
              </w:rPr>
              <w:t>500</w:t>
            </w: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4.410</w:t>
            </w:r>
          </w:p>
        </w:tc>
        <w:tc>
          <w:tcPr>
            <w:tcW w:w="17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6.930</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5.040</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 xml:space="preserve">500- </w:t>
            </w:r>
            <w:r>
              <w:rPr>
                <w:rFonts w:ascii="Times New Roman" w:hAnsi="Times New Roman" w:eastAsia="Times New Roman" w:cs="Times New Roman"/>
                <w:color w:val="000000"/>
                <w:spacing w:val="0"/>
                <w:w w:val="100"/>
                <w:position w:val="0"/>
                <w:sz w:val="28"/>
                <w:szCs w:val="28"/>
                <w:lang w:val="zh-TW" w:eastAsia="zh-TW" w:bidi="zh-TW"/>
              </w:rPr>
              <w:t>1000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3.465</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5.040</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2.835</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1000-5000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2.205</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3.150</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1.575</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5000-10000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1.260</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1.575</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0.630</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 0000 - 50000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r>
      <w:tr>
        <w:tblPrEx>
          <w:tblCellMar>
            <w:top w:w="0" w:type="dxa"/>
            <w:left w:w="10" w:type="dxa"/>
            <w:bottom w:w="0" w:type="dxa"/>
            <w:right w:w="10" w:type="dxa"/>
          </w:tblCellMar>
        </w:tblPrEx>
        <w:trPr>
          <w:trHeight w:val="551"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50000</w:t>
            </w:r>
            <w:r>
              <w:rPr>
                <w:rFonts w:ascii="Times New Roman" w:hAnsi="Times New Roman" w:eastAsia="Times New Roman" w:cs="Times New Roman"/>
                <w:color w:val="000000"/>
                <w:spacing w:val="0"/>
                <w:w w:val="100"/>
                <w:position w:val="0"/>
                <w:sz w:val="28"/>
                <w:szCs w:val="28"/>
                <w:lang w:val="en-US" w:eastAsia="en-US" w:bidi="en-US"/>
              </w:rPr>
              <w:t>-</w:t>
            </w:r>
            <w:r>
              <w:rPr>
                <w:rFonts w:hint="eastAsia" w:eastAsia="宋体" w:cs="Times New Roman"/>
                <w:color w:val="000000"/>
                <w:spacing w:val="0"/>
                <w:w w:val="100"/>
                <w:position w:val="0"/>
                <w:sz w:val="28"/>
                <w:szCs w:val="28"/>
                <w:lang w:val="en-US" w:eastAsia="zh-CN" w:bidi="en-US"/>
              </w:rPr>
              <w:t>1</w:t>
            </w:r>
            <w:r>
              <w:rPr>
                <w:rFonts w:ascii="Times New Roman" w:hAnsi="Times New Roman" w:eastAsia="Times New Roman" w:cs="Times New Roman"/>
                <w:color w:val="000000"/>
                <w:spacing w:val="0"/>
                <w:w w:val="100"/>
                <w:position w:val="0"/>
                <w:sz w:val="28"/>
                <w:szCs w:val="28"/>
                <w:lang w:val="zh-TW" w:eastAsia="zh-TW" w:bidi="zh-TW"/>
              </w:rPr>
              <w:t>00000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lang w:val="zh-TW" w:eastAsia="zh-TW" w:bidi="zh-TW"/>
              </w:rPr>
            </w:pPr>
            <w:r>
              <w:rPr>
                <w:rFonts w:ascii="Times New Roman" w:hAnsi="Times New Roman" w:eastAsia="Times New Roman" w:cs="Times New Roman"/>
                <w:color w:val="000000"/>
                <w:spacing w:val="0"/>
                <w:w w:val="100"/>
                <w:position w:val="0"/>
                <w:sz w:val="28"/>
                <w:szCs w:val="28"/>
                <w:lang w:val="zh-TW" w:eastAsia="zh-TW" w:bidi="zh-TW"/>
              </w:rPr>
              <w:t xml:space="preserve">100000 </w:t>
            </w:r>
            <w:r>
              <w:rPr>
                <w:rFonts w:ascii="Times New Roman" w:hAnsi="Times New Roman" w:eastAsia="Times New Roman" w:cs="Times New Roman"/>
                <w:color w:val="000000"/>
                <w:spacing w:val="0"/>
                <w:w w:val="100"/>
                <w:position w:val="0"/>
                <w:sz w:val="28"/>
                <w:szCs w:val="28"/>
                <w:lang w:val="en-US" w:eastAsia="en-US" w:bidi="zh-TW"/>
              </w:rPr>
              <w:t>-</w:t>
            </w:r>
            <w:r>
              <w:rPr>
                <w:rFonts w:ascii="Times New Roman" w:hAnsi="Times New Roman" w:eastAsia="Times New Roman" w:cs="Times New Roman"/>
                <w:color w:val="000000"/>
                <w:spacing w:val="0"/>
                <w:w w:val="100"/>
                <w:position w:val="0"/>
                <w:sz w:val="28"/>
                <w:szCs w:val="28"/>
                <w:lang w:val="zh-TW" w:eastAsia="zh-TW" w:bidi="zh-TW"/>
              </w:rPr>
              <w:t>500000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center"/>
              <w:rPr>
                <w:rFonts w:ascii="Times New Roman" w:hAnsi="Times New Roman" w:eastAsia="Times New Roman" w:cs="Times New Roman"/>
                <w:color w:val="000000"/>
                <w:spacing w:val="0"/>
                <w:w w:val="100"/>
                <w:position w:val="0"/>
                <w:sz w:val="28"/>
                <w:szCs w:val="28"/>
                <w:lang w:val="zh-TW" w:eastAsia="zh-TW" w:bidi="zh-TW"/>
              </w:rPr>
            </w:pPr>
            <w:r>
              <w:rPr>
                <w:rFonts w:ascii="Times New Roman" w:hAnsi="Times New Roman" w:eastAsia="Times New Roman" w:cs="Times New Roman"/>
                <w:color w:val="000000"/>
                <w:spacing w:val="0"/>
                <w:w w:val="100"/>
                <w:position w:val="0"/>
                <w:sz w:val="28"/>
                <w:szCs w:val="28"/>
                <w:lang w:val="en-US" w:eastAsia="en-US" w:bidi="zh-TW"/>
              </w:rPr>
              <w:t>0.050</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0.050</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0.050</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500000</w:t>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zh-TW" w:eastAsia="zh-TW" w:bidi="zh-TW"/>
              </w:rPr>
              <w:t>1000000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r>
      <w:tr>
        <w:tblPrEx>
          <w:tblCellMar>
            <w:top w:w="0" w:type="dxa"/>
            <w:left w:w="10" w:type="dxa"/>
            <w:bottom w:w="0" w:type="dxa"/>
            <w:right w:w="10" w:type="dxa"/>
          </w:tblCellMar>
        </w:tblPrEx>
        <w:trPr>
          <w:trHeight w:val="579" w:hRule="exact"/>
          <w:jc w:val="center"/>
        </w:trPr>
        <w:tc>
          <w:tcPr>
            <w:tcW w:w="3347"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1000000</w:t>
            </w:r>
            <w:r>
              <w:rPr>
                <w:rFonts w:ascii="宋体" w:hAnsi="宋体" w:eastAsia="宋体" w:cs="宋体"/>
                <w:color w:val="000000"/>
                <w:spacing w:val="0"/>
                <w:w w:val="100"/>
                <w:position w:val="0"/>
                <w:sz w:val="28"/>
                <w:szCs w:val="28"/>
                <w:lang w:val="zh-TW" w:eastAsia="zh-TW" w:bidi="zh-TW"/>
              </w:rPr>
              <w:t>以上</w:t>
            </w:r>
          </w:p>
        </w:tc>
        <w:tc>
          <w:tcPr>
            <w:tcW w:w="187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c>
          <w:tcPr>
            <w:tcW w:w="175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r>
    </w:tbl>
    <w:p>
      <w:pPr>
        <w:pStyle w:val="11"/>
        <w:keepNext w:val="0"/>
        <w:keepLines w:val="0"/>
        <w:widowControl w:val="0"/>
        <w:shd w:val="clear" w:color="auto" w:fill="auto"/>
        <w:bidi w:val="0"/>
        <w:spacing w:before="0" w:after="240" w:line="240" w:lineRule="auto"/>
        <w:ind w:left="0" w:right="0" w:firstLine="560" w:firstLineChars="200"/>
        <w:jc w:val="left"/>
        <w:rPr>
          <w:color w:val="000000"/>
          <w:spacing w:val="0"/>
          <w:w w:val="100"/>
          <w:position w:val="0"/>
          <w:sz w:val="28"/>
          <w:szCs w:val="28"/>
        </w:rPr>
      </w:pPr>
      <w:r>
        <w:rPr>
          <w:color w:val="000000"/>
          <w:spacing w:val="0"/>
          <w:w w:val="100"/>
          <w:position w:val="0"/>
          <w:sz w:val="28"/>
          <w:szCs w:val="28"/>
        </w:rPr>
        <w:t>注：计费标准分别按建筑安装工程费用、货物（设备及工器具购置等）费用及</w:t>
      </w:r>
      <w:r>
        <w:rPr>
          <w:rFonts w:hint="eastAsia"/>
          <w:color w:val="000000"/>
          <w:spacing w:val="0"/>
          <w:w w:val="100"/>
          <w:position w:val="0"/>
          <w:sz w:val="28"/>
          <w:szCs w:val="28"/>
          <w:lang w:eastAsia="zh-CN"/>
        </w:rPr>
        <w:t>服务</w:t>
      </w:r>
      <w:r>
        <w:rPr>
          <w:color w:val="000000"/>
          <w:spacing w:val="0"/>
          <w:w w:val="100"/>
          <w:position w:val="0"/>
          <w:sz w:val="28"/>
          <w:szCs w:val="28"/>
        </w:rPr>
        <w:t>（勘察、</w:t>
      </w:r>
      <w:r>
        <w:rPr>
          <w:rFonts w:hint="eastAsia"/>
          <w:color w:val="000000"/>
          <w:spacing w:val="0"/>
          <w:w w:val="100"/>
          <w:position w:val="0"/>
          <w:sz w:val="28"/>
          <w:szCs w:val="28"/>
          <w:lang w:eastAsia="zh-CN"/>
        </w:rPr>
        <w:t>设计</w:t>
      </w:r>
      <w:r>
        <w:rPr>
          <w:color w:val="000000"/>
          <w:spacing w:val="0"/>
          <w:w w:val="100"/>
          <w:position w:val="0"/>
          <w:sz w:val="28"/>
          <w:szCs w:val="28"/>
        </w:rPr>
        <w:t>、咨询、</w:t>
      </w:r>
      <w:r>
        <w:rPr>
          <w:rFonts w:hint="eastAsia"/>
          <w:color w:val="000000"/>
          <w:spacing w:val="0"/>
          <w:w w:val="100"/>
          <w:position w:val="0"/>
          <w:sz w:val="28"/>
          <w:szCs w:val="28"/>
          <w:lang w:eastAsia="zh-CN"/>
        </w:rPr>
        <w:t>监理</w:t>
      </w:r>
      <w:r>
        <w:rPr>
          <w:color w:val="000000"/>
          <w:spacing w:val="0"/>
          <w:w w:val="100"/>
          <w:position w:val="0"/>
          <w:sz w:val="28"/>
          <w:szCs w:val="28"/>
        </w:rPr>
        <w:t>等）费用，</w:t>
      </w:r>
      <w:r>
        <w:rPr>
          <w:rFonts w:hint="eastAsia"/>
          <w:color w:val="000000"/>
          <w:spacing w:val="0"/>
          <w:w w:val="100"/>
          <w:position w:val="0"/>
          <w:sz w:val="28"/>
          <w:szCs w:val="28"/>
          <w:lang w:eastAsia="zh-CN"/>
        </w:rPr>
        <w:t>以差额定</w:t>
      </w:r>
      <w:r>
        <w:rPr>
          <w:color w:val="000000"/>
          <w:spacing w:val="0"/>
          <w:w w:val="100"/>
          <w:position w:val="0"/>
          <w:sz w:val="28"/>
          <w:szCs w:val="28"/>
        </w:rPr>
        <w:t>率分档</w:t>
      </w:r>
      <w:r>
        <w:rPr>
          <w:rFonts w:hint="eastAsia"/>
          <w:color w:val="000000"/>
          <w:spacing w:val="0"/>
          <w:w w:val="100"/>
          <w:position w:val="0"/>
          <w:sz w:val="28"/>
          <w:szCs w:val="28"/>
          <w:lang w:eastAsia="zh-CN"/>
        </w:rPr>
        <w:t>累进方</w:t>
      </w:r>
      <w:r>
        <w:rPr>
          <w:color w:val="000000"/>
          <w:spacing w:val="0"/>
          <w:w w:val="100"/>
          <w:position w:val="0"/>
          <w:sz w:val="28"/>
          <w:szCs w:val="28"/>
        </w:rPr>
        <w:t>法计算。</w:t>
      </w:r>
    </w:p>
    <w:p>
      <w:pPr>
        <w:numPr>
          <w:ilvl w:val="0"/>
          <w:numId w:val="0"/>
        </w:numPr>
        <w:spacing w:line="360" w:lineRule="auto"/>
        <w:ind w:firstLine="562" w:firstLineChars="200"/>
        <w:rPr>
          <w:rFonts w:hint="eastAsia" w:ascii="Times New Roman"/>
          <w:b/>
          <w:bCs/>
          <w:color w:val="000000"/>
          <w:sz w:val="28"/>
          <w:szCs w:val="28"/>
          <w:lang w:val="en-US" w:eastAsia="zh-CN"/>
        </w:rPr>
      </w:pPr>
      <w:r>
        <w:rPr>
          <w:rFonts w:hint="eastAsia" w:ascii="Times New Roman"/>
          <w:b/>
          <w:bCs/>
          <w:color w:val="000000"/>
          <w:sz w:val="28"/>
          <w:szCs w:val="28"/>
          <w:lang w:val="en-US" w:eastAsia="zh-CN"/>
        </w:rPr>
        <w:t>（二）材料设备采购代理和管理</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1、</w:t>
      </w:r>
      <w:r>
        <w:rPr>
          <w:rFonts w:hint="eastAsia" w:ascii="Times New Roman"/>
          <w:b/>
          <w:bCs/>
          <w:color w:val="000000"/>
          <w:sz w:val="28"/>
          <w:szCs w:val="28"/>
          <w:lang w:eastAsia="zh-CN"/>
        </w:rPr>
        <w:t>主要工作内容：</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①</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工程咨询方受托提供材料设备采购管理的，应制定材料设备采购计划，并应根据需要分别制定直接采购、询价采购和招标采购管理制度，报送委托方批准后实施。</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②</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对于需要采用直接采购方式进行采购的，工程咨询方应就每一种直接采购产品提供专门咨询报告，对于超过暂估价的产品应重点报告，并应建立直接采购产品台账。</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③</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对于需要采用询价采购方式进行采购的，工程咨询方应制定询价采购产品清单，并应编制询价书，明确产品技术要求和主要合同条款，列出拟询价供应商清单，报送委托方批准。</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④</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询价采购方式进行采购的，工程咨询方应组织询价小组，向拟询价供应商发出报价邀请并进行资格预审。应制定评比办法，对不少于三家公开报价的单位进行评比，并应根据评比结果推荐预成交供应商，出具询价结果报告报送委托方。</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⑤</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对于需要采用招标采购方式进行采购的，工程咨询方应合理制定招标条件，提出技术要求，发布招标公告或招标邀请函。</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对于需要采用招标采购方式进行采购的，工程咨询方应编制资格预审文件、招标文件，制定评标办法，经委托方同意后组织开标评标，并应协助委托方定标。</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⑦</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工程咨询方应制定材料设备进场验收程序，并应将其写入招标文件和合同文件。</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⑧</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工程咨询方应协助委托方进行合同谈判，详细列明付款条件、交货验收要求、交接保存责任等主要条款。</w:t>
      </w:r>
    </w:p>
    <w:p>
      <w:pPr>
        <w:pStyle w:val="13"/>
        <w:overflowPunct w:val="0"/>
        <w:spacing w:line="360" w:lineRule="auto"/>
        <w:ind w:firstLine="560" w:firstLineChars="200"/>
        <w:jc w:val="both"/>
        <w:rPr>
          <w:rFonts w:ascii="宋体" w:cs="宋体"/>
        </w:rPr>
      </w:pPr>
      <w:r>
        <w:rPr>
          <w:rFonts w:hint="eastAsia" w:ascii="宋体" w:hAnsi="宋体" w:cs="宋体"/>
          <w:color w:val="000000"/>
          <w:spacing w:val="0"/>
          <w:w w:val="100"/>
          <w:kern w:val="2"/>
          <w:position w:val="0"/>
          <w:sz w:val="28"/>
          <w:szCs w:val="28"/>
          <w:u w:val="none"/>
          <w:shd w:val="clear" w:color="auto" w:fill="auto"/>
          <w:lang w:val="zh-TW" w:eastAsia="zh-CN" w:bidi="zh-TW"/>
        </w:rPr>
        <w:t>⑨</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工程咨询方应在合同谈判基础上，结合合同示范文本，协助委托方签订材料设备供货合同，并可监督管理材料设备供货合同履行。</w:t>
      </w:r>
    </w:p>
    <w:p>
      <w:pPr>
        <w:pStyle w:val="10"/>
        <w:keepNext w:val="0"/>
        <w:keepLines w:val="0"/>
        <w:widowControl w:val="0"/>
        <w:shd w:val="clear" w:color="auto" w:fill="auto"/>
        <w:bidi w:val="0"/>
        <w:spacing w:before="0" w:after="0" w:line="240" w:lineRule="auto"/>
        <w:ind w:left="0" w:right="0" w:firstLine="562" w:firstLineChars="200"/>
        <w:jc w:val="left"/>
        <w:rPr>
          <w:rFonts w:hint="eastAsia" w:ascii="Times New Roman" w:cs="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参考《桂建标〔2018〕37号》的招标代理服务费。</w:t>
      </w:r>
    </w:p>
    <w:p>
      <w:pPr>
        <w:pStyle w:val="10"/>
        <w:keepNext w:val="0"/>
        <w:keepLines w:val="0"/>
        <w:widowControl w:val="0"/>
        <w:shd w:val="clear" w:color="auto" w:fill="auto"/>
        <w:bidi w:val="0"/>
        <w:spacing w:before="0" w:after="0" w:line="240" w:lineRule="auto"/>
        <w:ind w:left="0" w:right="0" w:firstLine="560" w:firstLineChars="200"/>
        <w:jc w:val="left"/>
        <w:rPr>
          <w:rFonts w:hint="eastAsia" w:ascii="Times New Roman" w:cs="Times New Roman"/>
          <w:color w:val="000000"/>
          <w:sz w:val="28"/>
          <w:szCs w:val="28"/>
          <w:lang w:val="en-US" w:eastAsia="zh-CN"/>
        </w:rPr>
      </w:pPr>
    </w:p>
    <w:tbl>
      <w:tblPr>
        <w:tblStyle w:val="5"/>
        <w:tblW w:w="8730" w:type="dxa"/>
        <w:jc w:val="center"/>
        <w:tblLayout w:type="fixed"/>
        <w:tblCellMar>
          <w:top w:w="0" w:type="dxa"/>
          <w:left w:w="10" w:type="dxa"/>
          <w:bottom w:w="0" w:type="dxa"/>
          <w:right w:w="10" w:type="dxa"/>
        </w:tblCellMar>
      </w:tblPr>
      <w:tblGrid>
        <w:gridCol w:w="3495"/>
        <w:gridCol w:w="1887"/>
        <w:gridCol w:w="1722"/>
        <w:gridCol w:w="1626"/>
      </w:tblGrid>
      <w:tr>
        <w:tblPrEx>
          <w:tblCellMar>
            <w:top w:w="0" w:type="dxa"/>
            <w:left w:w="10" w:type="dxa"/>
            <w:bottom w:w="0" w:type="dxa"/>
            <w:right w:w="10" w:type="dxa"/>
          </w:tblCellMar>
        </w:tblPrEx>
        <w:trPr>
          <w:trHeight w:val="565" w:hRule="exact"/>
          <w:jc w:val="center"/>
        </w:trPr>
        <w:tc>
          <w:tcPr>
            <w:tcW w:w="3495"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费用（万</w:t>
            </w:r>
            <w:r>
              <w:rPr>
                <w:rFonts w:hint="eastAsia" w:ascii="宋体" w:hAnsi="宋体" w:cs="宋体"/>
                <w:color w:val="000000"/>
                <w:spacing w:val="0"/>
                <w:w w:val="100"/>
                <w:position w:val="0"/>
                <w:sz w:val="28"/>
                <w:szCs w:val="28"/>
                <w:lang w:val="zh-TW" w:eastAsia="zh-CN" w:bidi="zh-TW"/>
              </w:rPr>
              <w:t>元</w:t>
            </w:r>
            <w:r>
              <w:rPr>
                <w:rFonts w:ascii="宋体" w:hAnsi="宋体" w:eastAsia="宋体" w:cs="宋体"/>
                <w:color w:val="000000"/>
                <w:spacing w:val="0"/>
                <w:w w:val="100"/>
                <w:position w:val="0"/>
                <w:sz w:val="28"/>
                <w:szCs w:val="28"/>
                <w:lang w:val="zh-TW" w:eastAsia="zh-TW" w:bidi="zh-TW"/>
              </w:rPr>
              <w:t>）</w:t>
            </w:r>
          </w:p>
        </w:tc>
        <w:tc>
          <w:tcPr>
            <w:tcW w:w="5235"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服务类型费率（</w:t>
            </w:r>
            <w:r>
              <w:rPr>
                <w:rFonts w:hint="eastAsia" w:ascii="宋体" w:hAnsi="宋体" w:cs="宋体"/>
                <w:color w:val="000000"/>
                <w:spacing w:val="0"/>
                <w:w w:val="100"/>
                <w:position w:val="0"/>
                <w:sz w:val="28"/>
                <w:szCs w:val="28"/>
                <w:lang w:val="en-US" w:eastAsia="zh-CN" w:bidi="zh-TW"/>
              </w:rPr>
              <w:t>%</w:t>
            </w:r>
            <w:r>
              <w:rPr>
                <w:rFonts w:ascii="宋体" w:hAnsi="宋体" w:eastAsia="宋体" w:cs="宋体"/>
                <w:color w:val="000000"/>
                <w:spacing w:val="0"/>
                <w:w w:val="100"/>
                <w:position w:val="0"/>
                <w:sz w:val="28"/>
                <w:szCs w:val="28"/>
                <w:lang w:val="zh-TW" w:eastAsia="zh-TW" w:bidi="zh-TW"/>
              </w:rPr>
              <w:t>）</w:t>
            </w:r>
          </w:p>
        </w:tc>
      </w:tr>
      <w:tr>
        <w:tblPrEx>
          <w:tblCellMar>
            <w:top w:w="0" w:type="dxa"/>
            <w:left w:w="10" w:type="dxa"/>
            <w:bottom w:w="0" w:type="dxa"/>
            <w:right w:w="10" w:type="dxa"/>
          </w:tblCellMar>
        </w:tblPrEx>
        <w:trPr>
          <w:trHeight w:val="565" w:hRule="exact"/>
          <w:jc w:val="center"/>
        </w:trPr>
        <w:tc>
          <w:tcPr>
            <w:tcW w:w="3495" w:type="dxa"/>
            <w:vMerge w:val="continue"/>
            <w:tcBorders>
              <w:left w:val="single" w:color="auto" w:sz="4" w:space="0"/>
            </w:tcBorders>
            <w:shd w:val="clear" w:color="auto" w:fill="FFFFFF"/>
            <w:vAlign w:val="center"/>
          </w:tcPr>
          <w:p>
            <w:pPr>
              <w:rPr>
                <w:sz w:val="28"/>
                <w:szCs w:val="28"/>
              </w:rPr>
            </w:pPr>
          </w:p>
        </w:tc>
        <w:tc>
          <w:tcPr>
            <w:tcW w:w="18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工程招标</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货物招标</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服务招标</w:t>
            </w:r>
          </w:p>
        </w:tc>
      </w:tr>
      <w:tr>
        <w:tblPrEx>
          <w:tblCellMar>
            <w:top w:w="0" w:type="dxa"/>
            <w:left w:w="10" w:type="dxa"/>
            <w:bottom w:w="0" w:type="dxa"/>
            <w:right w:w="10" w:type="dxa"/>
          </w:tblCellMar>
        </w:tblPrEx>
        <w:trPr>
          <w:trHeight w:val="551"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w:t>
            </w:r>
            <w:r>
              <w:rPr>
                <w:rFonts w:ascii="宋体" w:hAnsi="宋体" w:eastAsia="宋体" w:cs="宋体"/>
                <w:color w:val="000000"/>
                <w:spacing w:val="0"/>
                <w:w w:val="100"/>
                <w:position w:val="0"/>
                <w:sz w:val="28"/>
                <w:szCs w:val="28"/>
                <w:lang w:val="zh-TW" w:eastAsia="zh-TW" w:bidi="zh-TW"/>
              </w:rPr>
              <w:t>以下</w:t>
            </w:r>
          </w:p>
        </w:tc>
        <w:tc>
          <w:tcPr>
            <w:tcW w:w="18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6.300</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9.450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auto"/>
                <w:spacing w:val="0"/>
                <w:w w:val="100"/>
                <w:position w:val="0"/>
                <w:sz w:val="28"/>
                <w:szCs w:val="28"/>
                <w:lang w:val="en-US" w:eastAsia="en-US" w:bidi="en-US"/>
              </w:rPr>
              <w:t>9.450</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w:t>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zh-TW" w:eastAsia="zh-TW" w:bidi="zh-TW"/>
              </w:rPr>
              <w:t>500</w:t>
            </w:r>
          </w:p>
        </w:tc>
        <w:tc>
          <w:tcPr>
            <w:tcW w:w="18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4.410</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6.930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5.040</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 xml:space="preserve">500- </w:t>
            </w:r>
            <w:r>
              <w:rPr>
                <w:rFonts w:ascii="Times New Roman" w:hAnsi="Times New Roman" w:eastAsia="Times New Roman" w:cs="Times New Roman"/>
                <w:color w:val="000000"/>
                <w:spacing w:val="0"/>
                <w:w w:val="100"/>
                <w:position w:val="0"/>
                <w:sz w:val="28"/>
                <w:szCs w:val="28"/>
                <w:lang w:val="zh-TW" w:eastAsia="zh-TW" w:bidi="zh-TW"/>
              </w:rPr>
              <w:t>1000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3.465</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5.040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2.835</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1000-5000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2.205</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3.150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1.575</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5000-10000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1.260</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1.575</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0.630</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 0000 - 50000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r>
      <w:tr>
        <w:tblPrEx>
          <w:tblCellMar>
            <w:top w:w="0" w:type="dxa"/>
            <w:left w:w="10" w:type="dxa"/>
            <w:bottom w:w="0" w:type="dxa"/>
            <w:right w:w="10" w:type="dxa"/>
          </w:tblCellMar>
        </w:tblPrEx>
        <w:trPr>
          <w:trHeight w:val="551"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50000</w:t>
            </w:r>
            <w:r>
              <w:rPr>
                <w:rFonts w:ascii="Times New Roman" w:hAnsi="Times New Roman" w:eastAsia="Times New Roman" w:cs="Times New Roman"/>
                <w:color w:val="000000"/>
                <w:spacing w:val="0"/>
                <w:w w:val="100"/>
                <w:position w:val="0"/>
                <w:sz w:val="28"/>
                <w:szCs w:val="28"/>
                <w:lang w:val="en-US" w:eastAsia="en-US" w:bidi="en-US"/>
              </w:rPr>
              <w:t>-</w:t>
            </w:r>
            <w:r>
              <w:rPr>
                <w:rFonts w:hint="eastAsia" w:eastAsia="宋体" w:cs="Times New Roman"/>
                <w:color w:val="000000"/>
                <w:spacing w:val="0"/>
                <w:w w:val="100"/>
                <w:position w:val="0"/>
                <w:sz w:val="28"/>
                <w:szCs w:val="28"/>
                <w:lang w:val="en-US" w:eastAsia="zh-CN" w:bidi="en-US"/>
              </w:rPr>
              <w:t>1</w:t>
            </w:r>
            <w:r>
              <w:rPr>
                <w:rFonts w:ascii="Times New Roman" w:hAnsi="Times New Roman" w:eastAsia="Times New Roman" w:cs="Times New Roman"/>
                <w:color w:val="000000"/>
                <w:spacing w:val="0"/>
                <w:w w:val="100"/>
                <w:position w:val="0"/>
                <w:sz w:val="28"/>
                <w:szCs w:val="28"/>
                <w:lang w:val="zh-TW" w:eastAsia="zh-TW" w:bidi="zh-TW"/>
              </w:rPr>
              <w:t>00000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lang w:val="zh-TW" w:eastAsia="zh-TW" w:bidi="zh-TW"/>
              </w:rPr>
            </w:pPr>
            <w:r>
              <w:rPr>
                <w:rFonts w:ascii="Times New Roman" w:hAnsi="Times New Roman" w:eastAsia="Times New Roman" w:cs="Times New Roman"/>
                <w:color w:val="000000"/>
                <w:spacing w:val="0"/>
                <w:w w:val="100"/>
                <w:position w:val="0"/>
                <w:sz w:val="28"/>
                <w:szCs w:val="28"/>
                <w:lang w:val="zh-TW" w:eastAsia="zh-TW" w:bidi="zh-TW"/>
              </w:rPr>
              <w:t xml:space="preserve">100000 </w:t>
            </w:r>
            <w:r>
              <w:rPr>
                <w:rFonts w:ascii="Times New Roman" w:hAnsi="Times New Roman" w:eastAsia="Times New Roman" w:cs="Times New Roman"/>
                <w:color w:val="000000"/>
                <w:spacing w:val="0"/>
                <w:w w:val="100"/>
                <w:position w:val="0"/>
                <w:sz w:val="28"/>
                <w:szCs w:val="28"/>
                <w:lang w:val="en-US" w:eastAsia="en-US" w:bidi="zh-TW"/>
              </w:rPr>
              <w:t>-</w:t>
            </w:r>
            <w:r>
              <w:rPr>
                <w:rFonts w:ascii="Times New Roman" w:hAnsi="Times New Roman" w:eastAsia="Times New Roman" w:cs="Times New Roman"/>
                <w:color w:val="000000"/>
                <w:spacing w:val="0"/>
                <w:w w:val="100"/>
                <w:position w:val="0"/>
                <w:sz w:val="28"/>
                <w:szCs w:val="28"/>
                <w:lang w:val="zh-TW" w:eastAsia="zh-TW" w:bidi="zh-TW"/>
              </w:rPr>
              <w:t>500000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lang w:val="zh-TW" w:eastAsia="zh-TW" w:bidi="zh-TW"/>
              </w:rPr>
            </w:pPr>
            <w:r>
              <w:rPr>
                <w:rFonts w:ascii="Times New Roman" w:hAnsi="Times New Roman" w:eastAsia="Times New Roman" w:cs="Times New Roman"/>
                <w:color w:val="000000"/>
                <w:spacing w:val="0"/>
                <w:w w:val="100"/>
                <w:position w:val="0"/>
                <w:sz w:val="28"/>
                <w:szCs w:val="28"/>
                <w:lang w:val="en-US" w:eastAsia="en-US" w:bidi="zh-TW"/>
              </w:rPr>
              <w:t>0.050</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0.050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0.050</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500000</w:t>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zh-TW" w:eastAsia="zh-TW" w:bidi="zh-TW"/>
              </w:rPr>
              <w:t>1000000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r>
      <w:tr>
        <w:tblPrEx>
          <w:tblCellMar>
            <w:top w:w="0" w:type="dxa"/>
            <w:left w:w="10" w:type="dxa"/>
            <w:bottom w:w="0" w:type="dxa"/>
            <w:right w:w="10" w:type="dxa"/>
          </w:tblCellMar>
        </w:tblPrEx>
        <w:trPr>
          <w:trHeight w:val="579" w:hRule="exact"/>
          <w:jc w:val="center"/>
        </w:trPr>
        <w:tc>
          <w:tcPr>
            <w:tcW w:w="349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1000000</w:t>
            </w:r>
            <w:r>
              <w:rPr>
                <w:rFonts w:ascii="宋体" w:hAnsi="宋体" w:eastAsia="宋体" w:cs="宋体"/>
                <w:color w:val="000000"/>
                <w:spacing w:val="0"/>
                <w:w w:val="100"/>
                <w:position w:val="0"/>
                <w:sz w:val="28"/>
                <w:szCs w:val="28"/>
                <w:lang w:val="zh-TW" w:eastAsia="zh-TW" w:bidi="zh-TW"/>
              </w:rPr>
              <w:t>以上</w:t>
            </w:r>
          </w:p>
        </w:tc>
        <w:tc>
          <w:tcPr>
            <w:tcW w:w="1887"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c>
          <w:tcPr>
            <w:tcW w:w="17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c>
          <w:tcPr>
            <w:tcW w:w="16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r>
    </w:tbl>
    <w:p>
      <w:pPr>
        <w:pStyle w:val="11"/>
        <w:keepNext w:val="0"/>
        <w:keepLines w:val="0"/>
        <w:widowControl w:val="0"/>
        <w:shd w:val="clear" w:color="auto" w:fill="auto"/>
        <w:bidi w:val="0"/>
        <w:spacing w:before="0" w:after="240" w:line="240" w:lineRule="auto"/>
        <w:ind w:left="0" w:right="0" w:firstLine="560" w:firstLineChars="200"/>
        <w:jc w:val="left"/>
        <w:rPr>
          <w:rFonts w:hint="eastAsia" w:ascii="Times New Roman"/>
          <w:color w:val="000000"/>
          <w:sz w:val="28"/>
          <w:szCs w:val="28"/>
          <w:lang w:eastAsia="zh-CN"/>
        </w:rPr>
      </w:pPr>
      <w:r>
        <w:rPr>
          <w:color w:val="000000"/>
          <w:spacing w:val="0"/>
          <w:w w:val="100"/>
          <w:position w:val="0"/>
          <w:sz w:val="28"/>
          <w:szCs w:val="28"/>
        </w:rPr>
        <w:t>注：计费标准分别按建筑安装工程费用、货物（设备及工器具购置等）费用及</w:t>
      </w:r>
      <w:r>
        <w:rPr>
          <w:rFonts w:hint="eastAsia"/>
          <w:color w:val="000000"/>
          <w:spacing w:val="0"/>
          <w:w w:val="100"/>
          <w:position w:val="0"/>
          <w:sz w:val="28"/>
          <w:szCs w:val="28"/>
          <w:lang w:eastAsia="zh-CN"/>
        </w:rPr>
        <w:t>服务。</w:t>
      </w:r>
      <w:r>
        <w:rPr>
          <w:color w:val="000000"/>
          <w:spacing w:val="0"/>
          <w:w w:val="100"/>
          <w:position w:val="0"/>
          <w:sz w:val="28"/>
          <w:szCs w:val="28"/>
        </w:rPr>
        <w:t>（勘察、</w:t>
      </w:r>
      <w:r>
        <w:rPr>
          <w:rFonts w:hint="eastAsia"/>
          <w:color w:val="000000"/>
          <w:spacing w:val="0"/>
          <w:w w:val="100"/>
          <w:position w:val="0"/>
          <w:sz w:val="28"/>
          <w:szCs w:val="28"/>
          <w:lang w:eastAsia="zh-CN"/>
        </w:rPr>
        <w:t>设计</w:t>
      </w:r>
      <w:r>
        <w:rPr>
          <w:color w:val="000000"/>
          <w:spacing w:val="0"/>
          <w:w w:val="100"/>
          <w:position w:val="0"/>
          <w:sz w:val="28"/>
          <w:szCs w:val="28"/>
        </w:rPr>
        <w:t>、咨询、</w:t>
      </w:r>
      <w:r>
        <w:rPr>
          <w:rFonts w:hint="eastAsia"/>
          <w:color w:val="000000"/>
          <w:spacing w:val="0"/>
          <w:w w:val="100"/>
          <w:position w:val="0"/>
          <w:sz w:val="28"/>
          <w:szCs w:val="28"/>
          <w:lang w:eastAsia="zh-CN"/>
        </w:rPr>
        <w:t>监理</w:t>
      </w:r>
      <w:r>
        <w:rPr>
          <w:color w:val="000000"/>
          <w:spacing w:val="0"/>
          <w:w w:val="100"/>
          <w:position w:val="0"/>
          <w:sz w:val="28"/>
          <w:szCs w:val="28"/>
        </w:rPr>
        <w:t>等）费用，</w:t>
      </w:r>
      <w:r>
        <w:rPr>
          <w:rFonts w:hint="eastAsia"/>
          <w:color w:val="000000"/>
          <w:spacing w:val="0"/>
          <w:w w:val="100"/>
          <w:position w:val="0"/>
          <w:sz w:val="28"/>
          <w:szCs w:val="28"/>
          <w:lang w:eastAsia="zh-CN"/>
        </w:rPr>
        <w:t>以差额定</w:t>
      </w:r>
      <w:r>
        <w:rPr>
          <w:color w:val="000000"/>
          <w:spacing w:val="0"/>
          <w:w w:val="100"/>
          <w:position w:val="0"/>
          <w:sz w:val="28"/>
          <w:szCs w:val="28"/>
        </w:rPr>
        <w:t>率分档</w:t>
      </w:r>
      <w:r>
        <w:rPr>
          <w:rFonts w:hint="eastAsia"/>
          <w:color w:val="000000"/>
          <w:spacing w:val="0"/>
          <w:w w:val="100"/>
          <w:position w:val="0"/>
          <w:sz w:val="28"/>
          <w:szCs w:val="28"/>
          <w:lang w:eastAsia="zh-CN"/>
        </w:rPr>
        <w:t>累进方</w:t>
      </w:r>
      <w:r>
        <w:rPr>
          <w:color w:val="000000"/>
          <w:spacing w:val="0"/>
          <w:w w:val="100"/>
          <w:position w:val="0"/>
          <w:sz w:val="28"/>
          <w:szCs w:val="28"/>
        </w:rPr>
        <w:t>法计算。</w:t>
      </w:r>
    </w:p>
    <w:p>
      <w:pPr>
        <w:pStyle w:val="10"/>
        <w:keepNext w:val="0"/>
        <w:keepLines w:val="0"/>
        <w:widowControl w:val="0"/>
        <w:shd w:val="clear" w:color="auto" w:fill="auto"/>
        <w:bidi w:val="0"/>
        <w:spacing w:before="0" w:after="0" w:line="240" w:lineRule="auto"/>
        <w:ind w:left="0" w:right="0" w:firstLine="602" w:firstLineChars="200"/>
        <w:jc w:val="left"/>
        <w:rPr>
          <w:rFonts w:hint="eastAsia" w:ascii="Times New Roman"/>
          <w:b/>
          <w:bCs/>
          <w:color w:val="000000"/>
          <w:sz w:val="30"/>
          <w:szCs w:val="30"/>
          <w:lang w:eastAsia="zh-CN"/>
        </w:rPr>
      </w:pPr>
      <w:r>
        <w:rPr>
          <w:rFonts w:hint="eastAsia" w:ascii="Times New Roman"/>
          <w:b/>
          <w:bCs/>
          <w:color w:val="000000"/>
          <w:sz w:val="30"/>
          <w:szCs w:val="30"/>
          <w:lang w:eastAsia="zh-CN"/>
        </w:rPr>
        <w:t>六、工程监理</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（一）</w:t>
      </w:r>
      <w:r>
        <w:rPr>
          <w:rFonts w:hint="eastAsia" w:ascii="Times New Roman"/>
          <w:b/>
          <w:bCs/>
          <w:color w:val="000000"/>
          <w:sz w:val="28"/>
          <w:szCs w:val="28"/>
          <w:lang w:eastAsia="zh-CN"/>
        </w:rPr>
        <w:t>工程监理</w:t>
      </w:r>
    </w:p>
    <w:p>
      <w:pPr>
        <w:numPr>
          <w:ilvl w:val="0"/>
          <w:numId w:val="0"/>
        </w:numPr>
        <w:spacing w:line="360" w:lineRule="auto"/>
        <w:ind w:firstLine="562" w:firstLineChars="200"/>
        <w:rPr>
          <w:rFonts w:hint="eastAsia" w:ascii="Times New Roman" w:cs="Times New Roman"/>
          <w:color w:val="000000"/>
          <w:sz w:val="28"/>
          <w:szCs w:val="28"/>
          <w:lang w:eastAsia="zh-CN"/>
        </w:rPr>
      </w:pPr>
      <w:r>
        <w:rPr>
          <w:rFonts w:hint="eastAsia" w:ascii="Times New Roman" w:cs="Times New Roman"/>
          <w:b/>
          <w:bCs/>
          <w:color w:val="000000"/>
          <w:sz w:val="28"/>
          <w:szCs w:val="28"/>
          <w:lang w:val="en-US" w:eastAsia="zh-CN"/>
        </w:rPr>
        <w:t>1、</w:t>
      </w:r>
      <w:r>
        <w:rPr>
          <w:rFonts w:hint="eastAsia" w:ascii="Times New Roman" w:cs="Times New Roman"/>
          <w:b/>
          <w:bCs/>
          <w:color w:val="000000"/>
          <w:sz w:val="28"/>
          <w:szCs w:val="28"/>
          <w:lang w:eastAsia="zh-CN"/>
        </w:rPr>
        <w:t>主要工作内容：</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①</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工程咨询方应根据全过程工程咨询合同及建设工程监理规范要求，在施工现场派驻项目监理机构，并应明确监理人员岗位职责。</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②</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项目监理机构应编制监理规划及监理实施细则，并应按监理规划及监理实施细则要求履行监理职责。</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③</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w:t>
      </w:r>
      <w:r>
        <w:rPr>
          <w:rFonts w:ascii="宋体" w:hAnsi="宋体" w:eastAsia="宋体" w:cs="宋体"/>
          <w:color w:val="000000"/>
          <w:spacing w:val="0"/>
          <w:w w:val="100"/>
          <w:kern w:val="2"/>
          <w:position w:val="0"/>
          <w:sz w:val="28"/>
          <w:szCs w:val="28"/>
          <w:u w:val="none"/>
          <w:shd w:val="clear" w:color="auto" w:fill="auto"/>
          <w:lang w:val="zh-TW" w:eastAsia="zh-TW" w:bidi="zh-TW"/>
        </w:rPr>
        <w:t>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单位在施工现场的</w:t>
      </w:r>
      <w:r>
        <w:rPr>
          <w:rFonts w:ascii="宋体" w:hAnsi="宋体" w:eastAsia="宋体" w:cs="宋体"/>
          <w:color w:val="000000"/>
          <w:spacing w:val="0"/>
          <w:w w:val="100"/>
          <w:kern w:val="2"/>
          <w:position w:val="0"/>
          <w:sz w:val="28"/>
          <w:szCs w:val="28"/>
          <w:u w:val="none"/>
          <w:shd w:val="clear" w:color="auto" w:fill="auto"/>
          <w:lang w:val="zh-TW" w:eastAsia="zh-TW" w:bidi="zh-TW"/>
        </w:rPr>
        <w:t>工程质量、安全生产管理制度及组织</w:t>
      </w:r>
      <w:r>
        <w:rPr>
          <w:rFonts w:hint="eastAsia" w:ascii="宋体" w:hAnsi="宋体" w:eastAsia="宋体" w:cs="宋体"/>
          <w:color w:val="000000"/>
          <w:spacing w:val="0"/>
          <w:w w:val="100"/>
          <w:kern w:val="2"/>
          <w:position w:val="0"/>
          <w:sz w:val="28"/>
          <w:szCs w:val="28"/>
          <w:u w:val="none"/>
          <w:shd w:val="clear" w:color="auto" w:fill="auto"/>
          <w:lang w:val="zh-TW" w:eastAsia="zh-TW" w:bidi="zh-TW"/>
        </w:rPr>
        <w:t>管理</w:t>
      </w:r>
      <w:r>
        <w:rPr>
          <w:rFonts w:ascii="宋体" w:hAnsi="宋体" w:eastAsia="宋体" w:cs="宋体"/>
          <w:color w:val="000000"/>
          <w:spacing w:val="0"/>
          <w:w w:val="100"/>
          <w:kern w:val="2"/>
          <w:position w:val="0"/>
          <w:sz w:val="28"/>
          <w:szCs w:val="28"/>
          <w:u w:val="none"/>
          <w:shd w:val="clear" w:color="auto" w:fill="auto"/>
          <w:lang w:val="zh-TW" w:eastAsia="zh-TW" w:bidi="zh-TW"/>
        </w:rPr>
        <w:t>机构</w:t>
      </w:r>
      <w:r>
        <w:rPr>
          <w:rFonts w:hint="eastAsia" w:ascii="宋体" w:hAnsi="宋体" w:eastAsia="宋体" w:cs="宋体"/>
          <w:color w:val="000000"/>
          <w:spacing w:val="0"/>
          <w:w w:val="100"/>
          <w:kern w:val="2"/>
          <w:position w:val="0"/>
          <w:sz w:val="28"/>
          <w:szCs w:val="28"/>
          <w:u w:val="none"/>
          <w:shd w:val="clear" w:color="auto" w:fill="auto"/>
          <w:lang w:val="zh-TW" w:eastAsia="zh-TW" w:bidi="zh-TW"/>
        </w:rPr>
        <w:t>，并应</w:t>
      </w:r>
      <w:r>
        <w:rPr>
          <w:rFonts w:ascii="宋体" w:hAnsi="宋体" w:eastAsia="宋体" w:cs="宋体"/>
          <w:color w:val="000000"/>
          <w:spacing w:val="0"/>
          <w:w w:val="100"/>
          <w:kern w:val="2"/>
          <w:position w:val="0"/>
          <w:sz w:val="28"/>
          <w:szCs w:val="28"/>
          <w:u w:val="none"/>
          <w:shd w:val="clear" w:color="auto" w:fill="auto"/>
          <w:lang w:val="zh-TW" w:eastAsia="zh-TW" w:bidi="zh-TW"/>
        </w:rPr>
        <w:t>检查施工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单位主要管理人员和</w:t>
      </w:r>
      <w:r>
        <w:rPr>
          <w:rFonts w:ascii="宋体" w:hAnsi="宋体" w:eastAsia="宋体" w:cs="宋体"/>
          <w:color w:val="000000"/>
          <w:spacing w:val="0"/>
          <w:w w:val="100"/>
          <w:kern w:val="2"/>
          <w:position w:val="0"/>
          <w:sz w:val="28"/>
          <w:szCs w:val="28"/>
          <w:u w:val="none"/>
          <w:shd w:val="clear" w:color="auto" w:fill="auto"/>
          <w:lang w:val="zh-TW" w:eastAsia="zh-TW" w:bidi="zh-TW"/>
        </w:rPr>
        <w:t>专职安全生产管理人员的配备情况</w:t>
      </w:r>
      <w:r>
        <w:rPr>
          <w:rFonts w:hint="eastAsia" w:ascii="宋体" w:hAnsi="宋体" w:eastAsia="宋体" w:cs="宋体"/>
          <w:color w:val="000000"/>
          <w:spacing w:val="0"/>
          <w:w w:val="100"/>
          <w:kern w:val="2"/>
          <w:position w:val="0"/>
          <w:sz w:val="28"/>
          <w:szCs w:val="28"/>
          <w:u w:val="none"/>
          <w:shd w:val="clear" w:color="auto" w:fill="auto"/>
          <w:lang w:val="zh-TW" w:eastAsia="zh-TW" w:bidi="zh-TW"/>
        </w:rPr>
        <w:t>。</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④</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项目监理机构应审查施工单位的试验室及分包单位资质条件，并应在相应报审文件中签署审查意见。</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⑤</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项目监理机构应审查施工管理人员和特种作业人员资格，并应核查主要施工机械的准用验收文件。</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⑥</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w:t>
      </w:r>
      <w:r>
        <w:rPr>
          <w:rFonts w:ascii="宋体" w:hAnsi="宋体" w:eastAsia="宋体" w:cs="宋体"/>
          <w:color w:val="000000"/>
          <w:spacing w:val="0"/>
          <w:w w:val="100"/>
          <w:kern w:val="2"/>
          <w:position w:val="0"/>
          <w:sz w:val="28"/>
          <w:szCs w:val="28"/>
          <w:u w:val="none"/>
          <w:shd w:val="clear" w:color="auto" w:fill="auto"/>
          <w:lang w:val="zh-TW" w:eastAsia="zh-TW" w:bidi="zh-TW"/>
        </w:rPr>
        <w:t>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w:t>
      </w:r>
      <w:r>
        <w:rPr>
          <w:rFonts w:ascii="宋体" w:hAnsi="宋体" w:eastAsia="宋体" w:cs="宋体"/>
          <w:color w:val="000000"/>
          <w:spacing w:val="0"/>
          <w:w w:val="100"/>
          <w:kern w:val="2"/>
          <w:position w:val="0"/>
          <w:sz w:val="28"/>
          <w:szCs w:val="28"/>
          <w:u w:val="none"/>
          <w:shd w:val="clear" w:color="auto" w:fill="auto"/>
          <w:lang w:val="zh-TW" w:eastAsia="zh-TW" w:bidi="zh-TW"/>
        </w:rPr>
        <w:t>提交的施工组织设计</w:t>
      </w:r>
      <w:r>
        <w:rPr>
          <w:rFonts w:hint="eastAsia" w:ascii="宋体" w:hAnsi="宋体" w:eastAsia="宋体" w:cs="宋体"/>
          <w:color w:val="000000"/>
          <w:spacing w:val="0"/>
          <w:w w:val="100"/>
          <w:kern w:val="2"/>
          <w:position w:val="0"/>
          <w:sz w:val="28"/>
          <w:szCs w:val="28"/>
          <w:u w:val="none"/>
          <w:shd w:val="clear" w:color="auto" w:fill="auto"/>
          <w:lang w:val="zh-TW" w:eastAsia="zh-TW" w:bidi="zh-TW"/>
        </w:rPr>
        <w:t>、施工方案及专项施工方案，并应监督施工单位执行施工图设计文件和工程建设标准，按照批准的</w:t>
      </w:r>
      <w:r>
        <w:rPr>
          <w:rFonts w:ascii="宋体" w:hAnsi="宋体" w:eastAsia="宋体" w:cs="宋体"/>
          <w:color w:val="000000"/>
          <w:spacing w:val="0"/>
          <w:w w:val="100"/>
          <w:kern w:val="2"/>
          <w:position w:val="0"/>
          <w:sz w:val="28"/>
          <w:szCs w:val="28"/>
          <w:u w:val="none"/>
          <w:shd w:val="clear" w:color="auto" w:fill="auto"/>
          <w:lang w:val="zh-TW" w:eastAsia="zh-TW" w:bidi="zh-TW"/>
        </w:rPr>
        <w:t>施工组织设计</w:t>
      </w:r>
      <w:r>
        <w:rPr>
          <w:rFonts w:hint="eastAsia" w:ascii="宋体" w:hAnsi="宋体" w:eastAsia="宋体" w:cs="宋体"/>
          <w:color w:val="000000"/>
          <w:spacing w:val="0"/>
          <w:w w:val="100"/>
          <w:kern w:val="2"/>
          <w:position w:val="0"/>
          <w:sz w:val="28"/>
          <w:szCs w:val="28"/>
          <w:u w:val="none"/>
          <w:shd w:val="clear" w:color="auto" w:fill="auto"/>
          <w:lang w:val="zh-TW" w:eastAsia="zh-TW" w:bidi="zh-TW"/>
        </w:rPr>
        <w:t>、施工方案及专项施工方案组织施工。</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⑦</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w:t>
      </w:r>
      <w:r>
        <w:rPr>
          <w:rFonts w:ascii="宋体" w:hAnsi="宋体" w:eastAsia="宋体" w:cs="宋体"/>
          <w:color w:val="000000"/>
          <w:spacing w:val="0"/>
          <w:w w:val="100"/>
          <w:kern w:val="2"/>
          <w:position w:val="0"/>
          <w:sz w:val="28"/>
          <w:szCs w:val="28"/>
          <w:u w:val="none"/>
          <w:shd w:val="clear" w:color="auto" w:fill="auto"/>
          <w:lang w:val="zh-TW" w:eastAsia="zh-TW" w:bidi="zh-TW"/>
        </w:rPr>
        <w:t>审查施工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w:t>
      </w:r>
      <w:r>
        <w:rPr>
          <w:rFonts w:ascii="宋体" w:hAnsi="宋体" w:eastAsia="宋体" w:cs="宋体"/>
          <w:color w:val="000000"/>
          <w:spacing w:val="0"/>
          <w:w w:val="100"/>
          <w:kern w:val="2"/>
          <w:position w:val="0"/>
          <w:sz w:val="28"/>
          <w:szCs w:val="28"/>
          <w:u w:val="none"/>
          <w:shd w:val="clear" w:color="auto" w:fill="auto"/>
          <w:lang w:val="zh-TW" w:eastAsia="zh-TW" w:bidi="zh-TW"/>
        </w:rPr>
        <w:t>报送的工程材料、构配件、设备质量证明文件，并按规定对用于工程的材料</w:t>
      </w:r>
      <w:r>
        <w:rPr>
          <w:rFonts w:hint="eastAsia" w:ascii="宋体" w:hAnsi="宋体" w:eastAsia="宋体" w:cs="宋体"/>
          <w:color w:val="000000"/>
          <w:spacing w:val="0"/>
          <w:w w:val="100"/>
          <w:kern w:val="2"/>
          <w:position w:val="0"/>
          <w:sz w:val="28"/>
          <w:szCs w:val="28"/>
          <w:u w:val="none"/>
          <w:shd w:val="clear" w:color="auto" w:fill="auto"/>
          <w:lang w:val="zh-TW" w:eastAsia="zh-TW" w:bidi="zh-TW"/>
        </w:rPr>
        <w:t>、构配件进行</w:t>
      </w:r>
      <w:r>
        <w:rPr>
          <w:rFonts w:ascii="宋体" w:hAnsi="宋体" w:eastAsia="宋体" w:cs="宋体"/>
          <w:color w:val="000000"/>
          <w:spacing w:val="0"/>
          <w:w w:val="100"/>
          <w:kern w:val="2"/>
          <w:position w:val="0"/>
          <w:sz w:val="28"/>
          <w:szCs w:val="28"/>
          <w:u w:val="none"/>
          <w:shd w:val="clear" w:color="auto" w:fill="auto"/>
          <w:lang w:val="zh-TW" w:eastAsia="zh-TW" w:bidi="zh-TW"/>
        </w:rPr>
        <w:t>见证取样</w:t>
      </w:r>
      <w:r>
        <w:rPr>
          <w:rFonts w:hint="eastAsia" w:ascii="宋体" w:hAnsi="宋体" w:eastAsia="宋体" w:cs="宋体"/>
          <w:color w:val="000000"/>
          <w:spacing w:val="0"/>
          <w:w w:val="100"/>
          <w:kern w:val="2"/>
          <w:position w:val="0"/>
          <w:sz w:val="28"/>
          <w:szCs w:val="28"/>
          <w:u w:val="none"/>
          <w:shd w:val="clear" w:color="auto" w:fill="auto"/>
          <w:lang w:val="zh-TW" w:eastAsia="zh-TW" w:bidi="zh-TW"/>
        </w:rPr>
        <w:t>送检。</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⑧</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项目监理机构应采取巡视、旁站、平行检验等方式对工程质量实施过程控制，对隐蔽工程、分项工程、分部工程和单位工程进行验收，并应在相应报验文件中签署验收意见。</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⑨</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项目监理机构应审查施工单位提交的施工进度计划，并应检查分阶段进度计划执行情况，通过监理例会等形式协调施工进度问题。</w:t>
      </w:r>
    </w:p>
    <w:p>
      <w:pPr>
        <w:overflowPunct w:val="0"/>
        <w:spacing w:line="360" w:lineRule="auto"/>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en-US" w:eastAsia="zh-CN" w:bidi="zh-TW"/>
        </w:rPr>
        <w:t xml:space="preserve">   ⑩</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项目监理机构应审查施工单位报送的工程进度款支付申请，并应按相关规定审查工程变更和索赔申请，</w:t>
      </w:r>
      <w:r>
        <w:rPr>
          <w:rFonts w:ascii="宋体" w:hAnsi="宋体" w:eastAsia="宋体" w:cs="宋体"/>
          <w:color w:val="000000"/>
          <w:spacing w:val="0"/>
          <w:w w:val="100"/>
          <w:kern w:val="2"/>
          <w:position w:val="0"/>
          <w:sz w:val="28"/>
          <w:szCs w:val="28"/>
          <w:u w:val="none"/>
          <w:shd w:val="clear" w:color="auto" w:fill="auto"/>
          <w:lang w:val="zh-TW" w:eastAsia="zh-TW" w:bidi="zh-TW"/>
        </w:rPr>
        <w:t>协调处理施工进度调整、费用索赔、合同争议等事项</w:t>
      </w:r>
      <w:r>
        <w:rPr>
          <w:rFonts w:hint="eastAsia" w:ascii="宋体" w:hAnsi="宋体" w:eastAsia="宋体" w:cs="宋体"/>
          <w:color w:val="000000"/>
          <w:spacing w:val="0"/>
          <w:w w:val="100"/>
          <w:kern w:val="2"/>
          <w:position w:val="0"/>
          <w:sz w:val="28"/>
          <w:szCs w:val="28"/>
          <w:u w:val="none"/>
          <w:shd w:val="clear" w:color="auto" w:fill="auto"/>
          <w:lang w:val="zh-TW" w:eastAsia="zh-TW" w:bidi="zh-TW"/>
        </w:rPr>
        <w:t>。</w:t>
      </w:r>
    </w:p>
    <w:p>
      <w:pPr>
        <w:overflowPunct w:val="0"/>
        <w:spacing w:line="360" w:lineRule="auto"/>
        <w:ind w:firstLine="42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,11)</w:instrText>
      </w:r>
      <w:r>
        <w:rPr>
          <w:rFonts w:hint="eastAsia" w:ascii="Times New Roman" w:hAnsi="Calibri" w:eastAsia="宋体" w:cs="Times New Roman"/>
          <w:color w:val="000000"/>
          <w:kern w:val="2"/>
          <w:sz w:val="21"/>
          <w:szCs w:val="21"/>
          <w:lang w:val="en-US" w:eastAsia="zh-CN"/>
        </w:rPr>
        <w:fldChar w:fldCharType="end"/>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w:t>
      </w:r>
      <w:r>
        <w:rPr>
          <w:rFonts w:ascii="宋体" w:hAnsi="宋体" w:eastAsia="宋体" w:cs="宋体"/>
          <w:color w:val="000000"/>
          <w:spacing w:val="0"/>
          <w:w w:val="100"/>
          <w:kern w:val="2"/>
          <w:position w:val="0"/>
          <w:sz w:val="28"/>
          <w:szCs w:val="28"/>
          <w:u w:val="none"/>
          <w:shd w:val="clear" w:color="auto" w:fill="auto"/>
          <w:lang w:val="zh-TW" w:eastAsia="zh-TW" w:bidi="zh-TW"/>
        </w:rPr>
        <w:t>审查施工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w:t>
      </w:r>
      <w:r>
        <w:rPr>
          <w:rFonts w:ascii="宋体" w:hAnsi="宋体" w:eastAsia="宋体" w:cs="宋体"/>
          <w:color w:val="000000"/>
          <w:spacing w:val="0"/>
          <w:w w:val="100"/>
          <w:kern w:val="2"/>
          <w:position w:val="0"/>
          <w:sz w:val="28"/>
          <w:szCs w:val="28"/>
          <w:u w:val="none"/>
          <w:shd w:val="clear" w:color="auto" w:fill="auto"/>
          <w:lang w:val="zh-TW" w:eastAsia="zh-TW" w:bidi="zh-TW"/>
        </w:rPr>
        <w:t>提交的竣工验收</w:t>
      </w:r>
      <w:r>
        <w:rPr>
          <w:rFonts w:hint="eastAsia" w:ascii="宋体" w:hAnsi="宋体" w:eastAsia="宋体" w:cs="宋体"/>
          <w:color w:val="000000"/>
          <w:spacing w:val="0"/>
          <w:w w:val="100"/>
          <w:kern w:val="2"/>
          <w:position w:val="0"/>
          <w:sz w:val="28"/>
          <w:szCs w:val="28"/>
          <w:u w:val="none"/>
          <w:shd w:val="clear" w:color="auto" w:fill="auto"/>
          <w:lang w:val="zh-TW" w:eastAsia="zh-TW" w:bidi="zh-TW"/>
        </w:rPr>
        <w:t>和结算</w:t>
      </w:r>
      <w:r>
        <w:rPr>
          <w:rFonts w:ascii="宋体" w:hAnsi="宋体" w:eastAsia="宋体" w:cs="宋体"/>
          <w:color w:val="000000"/>
          <w:spacing w:val="0"/>
          <w:w w:val="100"/>
          <w:kern w:val="2"/>
          <w:position w:val="0"/>
          <w:sz w:val="28"/>
          <w:szCs w:val="28"/>
          <w:u w:val="none"/>
          <w:shd w:val="clear" w:color="auto" w:fill="auto"/>
          <w:lang w:val="zh-TW" w:eastAsia="zh-TW" w:bidi="zh-TW"/>
        </w:rPr>
        <w:t>申请，编写工程质量评估报告</w:t>
      </w:r>
      <w:r>
        <w:rPr>
          <w:rFonts w:hint="eastAsia" w:ascii="宋体" w:hAnsi="宋体" w:eastAsia="宋体" w:cs="宋体"/>
          <w:color w:val="000000"/>
          <w:spacing w:val="0"/>
          <w:w w:val="100"/>
          <w:kern w:val="2"/>
          <w:position w:val="0"/>
          <w:sz w:val="28"/>
          <w:szCs w:val="28"/>
          <w:u w:val="none"/>
          <w:shd w:val="clear" w:color="auto" w:fill="auto"/>
          <w:lang w:val="zh-TW" w:eastAsia="zh-TW" w:bidi="zh-TW"/>
        </w:rPr>
        <w:t>，并应</w:t>
      </w:r>
      <w:r>
        <w:rPr>
          <w:rFonts w:ascii="宋体" w:hAnsi="宋体" w:eastAsia="宋体" w:cs="宋体"/>
          <w:color w:val="000000"/>
          <w:spacing w:val="0"/>
          <w:w w:val="100"/>
          <w:kern w:val="2"/>
          <w:position w:val="0"/>
          <w:sz w:val="28"/>
          <w:szCs w:val="28"/>
          <w:u w:val="none"/>
          <w:shd w:val="clear" w:color="auto" w:fill="auto"/>
          <w:lang w:val="zh-TW" w:eastAsia="zh-TW" w:bidi="zh-TW"/>
        </w:rPr>
        <w:t>参加工程竣工验收</w:t>
      </w:r>
      <w:r>
        <w:rPr>
          <w:rFonts w:hint="eastAsia" w:ascii="宋体" w:hAnsi="宋体" w:eastAsia="宋体" w:cs="宋体"/>
          <w:color w:val="000000"/>
          <w:spacing w:val="0"/>
          <w:w w:val="100"/>
          <w:kern w:val="2"/>
          <w:position w:val="0"/>
          <w:sz w:val="28"/>
          <w:szCs w:val="28"/>
          <w:u w:val="none"/>
          <w:shd w:val="clear" w:color="auto" w:fill="auto"/>
          <w:lang w:val="zh-TW" w:eastAsia="zh-TW" w:bidi="zh-TW"/>
        </w:rPr>
        <w:t>。</w:t>
      </w:r>
    </w:p>
    <w:p>
      <w:pPr>
        <w:overflowPunct w:val="0"/>
        <w:spacing w:line="360" w:lineRule="auto"/>
        <w:ind w:firstLine="48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,12)</w:instrText>
      </w:r>
      <w:r>
        <w:rPr>
          <w:rFonts w:hint="eastAsia" w:ascii="Times New Roman" w:hAnsi="Calibri" w:eastAsia="宋体" w:cs="Times New Roman"/>
          <w:color w:val="000000"/>
          <w:kern w:val="2"/>
          <w:sz w:val="24"/>
          <w:szCs w:val="24"/>
          <w:lang w:val="en-US" w:eastAsia="zh-CN"/>
        </w:rPr>
        <w:fldChar w:fldCharType="end"/>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项目监理机构宜利用信息化手段管理监理文件资料，并应按照档案管理相关要求进行监理文件资料建档和归档。</w:t>
      </w:r>
    </w:p>
    <w:p>
      <w:pPr>
        <w:pStyle w:val="10"/>
        <w:keepNext w:val="0"/>
        <w:keepLines w:val="0"/>
        <w:widowControl w:val="0"/>
        <w:shd w:val="clear" w:color="auto" w:fill="auto"/>
        <w:bidi w:val="0"/>
        <w:spacing w:before="0" w:after="0" w:line="240" w:lineRule="auto"/>
        <w:ind w:left="0" w:right="0" w:firstLine="562" w:firstLineChars="200"/>
        <w:jc w:val="left"/>
        <w:rPr>
          <w:rFonts w:hint="eastAsia" w:ascii="Times New Roman" w:cs="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参考《桂建标〔2018〕37号》的工程监理费。</w:t>
      </w:r>
    </w:p>
    <w:tbl>
      <w:tblPr>
        <w:tblStyle w:val="5"/>
        <w:tblW w:w="8490" w:type="dxa"/>
        <w:jc w:val="center"/>
        <w:tblLayout w:type="fixed"/>
        <w:tblCellMar>
          <w:top w:w="0" w:type="dxa"/>
          <w:left w:w="10" w:type="dxa"/>
          <w:bottom w:w="0" w:type="dxa"/>
          <w:right w:w="10" w:type="dxa"/>
        </w:tblCellMar>
      </w:tblPr>
      <w:tblGrid>
        <w:gridCol w:w="966"/>
        <w:gridCol w:w="3573"/>
        <w:gridCol w:w="3951"/>
      </w:tblGrid>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序号</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工程</w:t>
            </w:r>
            <w:r>
              <w:rPr>
                <w:rFonts w:hint="eastAsia" w:ascii="宋体" w:hAnsi="宋体" w:eastAsia="宋体" w:cs="宋体"/>
                <w:color w:val="000000"/>
                <w:spacing w:val="0"/>
                <w:w w:val="100"/>
                <w:position w:val="0"/>
                <w:sz w:val="28"/>
                <w:szCs w:val="28"/>
                <w:lang w:eastAsia="zh-CN"/>
              </w:rPr>
              <w:t>费</w:t>
            </w:r>
            <w:r>
              <w:rPr>
                <w:rFonts w:ascii="宋体" w:hAnsi="宋体" w:eastAsia="宋体" w:cs="宋体"/>
                <w:color w:val="000000"/>
                <w:spacing w:val="0"/>
                <w:w w:val="100"/>
                <w:position w:val="0"/>
                <w:sz w:val="28"/>
                <w:szCs w:val="28"/>
              </w:rPr>
              <w:t>用（万元）</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收费基价（万元）</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500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13.20</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24.08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62.48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4</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5000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96.64</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5</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8000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144.80</w:t>
            </w:r>
          </w:p>
        </w:tc>
      </w:tr>
      <w:tr>
        <w:tblPrEx>
          <w:tblCellMar>
            <w:top w:w="0" w:type="dxa"/>
            <w:left w:w="10" w:type="dxa"/>
            <w:bottom w:w="0" w:type="dxa"/>
            <w:right w:w="10" w:type="dxa"/>
          </w:tblCellMar>
        </w:tblPrEx>
        <w:trPr>
          <w:trHeight w:val="540"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6</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174.88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7</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20000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314.72</w:t>
            </w:r>
          </w:p>
        </w:tc>
      </w:tr>
      <w:tr>
        <w:tblPrEx>
          <w:tblCellMar>
            <w:top w:w="0" w:type="dxa"/>
            <w:left w:w="10" w:type="dxa"/>
            <w:bottom w:w="0" w:type="dxa"/>
            <w:right w:w="10" w:type="dxa"/>
          </w:tblCellMar>
        </w:tblPrEx>
        <w:trPr>
          <w:trHeight w:val="510"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8</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40000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566.56</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9</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60000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793.12</w:t>
            </w:r>
          </w:p>
        </w:tc>
      </w:tr>
      <w:tr>
        <w:tblPrEx>
          <w:tblCellMar>
            <w:top w:w="0" w:type="dxa"/>
            <w:left w:w="10" w:type="dxa"/>
            <w:bottom w:w="0" w:type="dxa"/>
            <w:right w:w="10" w:type="dxa"/>
          </w:tblCellMar>
        </w:tblPrEx>
        <w:trPr>
          <w:trHeight w:val="540"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w:t>
            </w:r>
          </w:p>
        </w:tc>
        <w:tc>
          <w:tcPr>
            <w:tcW w:w="357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80000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1004.64</w:t>
            </w:r>
          </w:p>
        </w:tc>
      </w:tr>
      <w:tr>
        <w:tblPrEx>
          <w:tblCellMar>
            <w:top w:w="0" w:type="dxa"/>
            <w:left w:w="10" w:type="dxa"/>
            <w:bottom w:w="0" w:type="dxa"/>
            <w:right w:w="10" w:type="dxa"/>
          </w:tblCellMar>
        </w:tblPrEx>
        <w:trPr>
          <w:trHeight w:val="510"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11</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1205.60</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u w:val="none"/>
              </w:rPr>
            </w:pPr>
            <w:r>
              <w:rPr>
                <w:rFonts w:ascii="Times New Roman" w:hAnsi="Times New Roman" w:eastAsia="Times New Roman" w:cs="Times New Roman"/>
                <w:color w:val="000000"/>
                <w:spacing w:val="0"/>
                <w:w w:val="100"/>
                <w:position w:val="0"/>
                <w:sz w:val="28"/>
                <w:szCs w:val="28"/>
                <w:u w:val="none"/>
              </w:rPr>
              <w:t>12</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tabs>
                <w:tab w:val="left" w:pos="3585"/>
              </w:tabs>
              <w:bidi w:val="0"/>
              <w:spacing w:before="0" w:after="0" w:line="240" w:lineRule="auto"/>
              <w:ind w:left="0" w:right="0" w:firstLine="0"/>
              <w:jc w:val="left"/>
              <w:rPr>
                <w:sz w:val="28"/>
                <w:szCs w:val="28"/>
                <w:u w:val="none"/>
              </w:rPr>
            </w:pPr>
            <w:r>
              <w:rPr>
                <w:rFonts w:ascii="Times New Roman" w:hAnsi="Times New Roman" w:eastAsia="Times New Roman" w:cs="Times New Roman"/>
                <w:color w:val="000000"/>
                <w:spacing w:val="0"/>
                <w:w w:val="100"/>
                <w:position w:val="0"/>
                <w:sz w:val="28"/>
                <w:szCs w:val="28"/>
                <w:u w:val="none"/>
              </w:rPr>
              <w:t>200000</w:t>
            </w:r>
            <w:r>
              <w:rPr>
                <w:rFonts w:ascii="Times New Roman" w:hAnsi="Times New Roman" w:eastAsia="Times New Roman" w:cs="Times New Roman"/>
                <w:color w:val="000000"/>
                <w:spacing w:val="0"/>
                <w:w w:val="100"/>
                <w:position w:val="0"/>
                <w:sz w:val="28"/>
                <w:szCs w:val="28"/>
                <w:u w:val="none"/>
              </w:rPr>
              <w:tab/>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tabs>
                <w:tab w:val="left" w:pos="3585"/>
              </w:tabs>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rPr>
            </w:pPr>
            <w:r>
              <w:rPr>
                <w:rFonts w:ascii="Times New Roman" w:hAnsi="Times New Roman" w:eastAsia="Times New Roman" w:cs="Times New Roman"/>
                <w:color w:val="000000"/>
                <w:spacing w:val="0"/>
                <w:w w:val="100"/>
                <w:position w:val="0"/>
                <w:sz w:val="28"/>
                <w:szCs w:val="28"/>
                <w:lang w:val="en-US" w:eastAsia="en-US" w:bidi="en-US"/>
              </w:rPr>
              <w:t>2170.00</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13</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400000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3906.08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14</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600000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5468.48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15</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800000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6926.72</w:t>
            </w:r>
          </w:p>
        </w:tc>
      </w:tr>
      <w:tr>
        <w:tblPrEx>
          <w:tblCellMar>
            <w:top w:w="0" w:type="dxa"/>
            <w:left w:w="10" w:type="dxa"/>
            <w:bottom w:w="0" w:type="dxa"/>
            <w:right w:w="10" w:type="dxa"/>
          </w:tblCellMar>
        </w:tblPrEx>
        <w:trPr>
          <w:trHeight w:val="540" w:hRule="exact"/>
          <w:jc w:val="center"/>
        </w:trPr>
        <w:tc>
          <w:tcPr>
            <w:tcW w:w="96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16</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8312.08</w:t>
            </w:r>
          </w:p>
        </w:tc>
      </w:tr>
    </w:tbl>
    <w:p>
      <w:pPr>
        <w:widowControl w:val="0"/>
        <w:spacing w:after="119" w:line="1" w:lineRule="exact"/>
        <w:rPr>
          <w:sz w:val="28"/>
          <w:szCs w:val="28"/>
        </w:rPr>
      </w:pPr>
    </w:p>
    <w:p>
      <w:pPr>
        <w:pStyle w:val="11"/>
        <w:keepNext w:val="0"/>
        <w:keepLines w:val="0"/>
        <w:widowControl w:val="0"/>
        <w:shd w:val="clear" w:color="auto" w:fill="auto"/>
        <w:bidi w:val="0"/>
        <w:spacing w:before="0" w:after="0" w:line="510" w:lineRule="exact"/>
        <w:ind w:left="0" w:right="0" w:firstLine="560" w:firstLineChars="200"/>
        <w:jc w:val="left"/>
        <w:rPr>
          <w:color w:val="000000"/>
          <w:spacing w:val="0"/>
          <w:w w:val="100"/>
          <w:position w:val="0"/>
          <w:sz w:val="28"/>
          <w:szCs w:val="28"/>
        </w:rPr>
      </w:pPr>
      <w:r>
        <w:rPr>
          <w:color w:val="000000"/>
          <w:spacing w:val="0"/>
          <w:w w:val="100"/>
          <w:position w:val="0"/>
          <w:sz w:val="28"/>
          <w:szCs w:val="28"/>
        </w:rPr>
        <w:t>注：工程监理按照工程</w:t>
      </w:r>
      <w:r>
        <w:rPr>
          <w:rFonts w:hint="eastAsia"/>
          <w:color w:val="000000"/>
          <w:spacing w:val="0"/>
          <w:w w:val="100"/>
          <w:position w:val="0"/>
          <w:sz w:val="28"/>
          <w:szCs w:val="28"/>
          <w:lang w:eastAsia="zh-CN"/>
        </w:rPr>
        <w:t>费用</w:t>
      </w:r>
      <w:r>
        <w:rPr>
          <w:color w:val="000000"/>
          <w:spacing w:val="0"/>
          <w:w w:val="100"/>
          <w:position w:val="0"/>
          <w:sz w:val="28"/>
          <w:szCs w:val="28"/>
        </w:rPr>
        <w:t>分档计算，工程</w:t>
      </w:r>
      <w:r>
        <w:rPr>
          <w:rFonts w:hint="eastAsia"/>
          <w:color w:val="000000"/>
          <w:spacing w:val="0"/>
          <w:w w:val="100"/>
          <w:position w:val="0"/>
          <w:sz w:val="28"/>
          <w:szCs w:val="28"/>
          <w:lang w:eastAsia="zh-CN"/>
        </w:rPr>
        <w:t>费用</w:t>
      </w:r>
      <w:r>
        <w:rPr>
          <w:color w:val="000000"/>
          <w:spacing w:val="0"/>
          <w:w w:val="100"/>
          <w:position w:val="0"/>
          <w:sz w:val="28"/>
          <w:szCs w:val="28"/>
        </w:rPr>
        <w:t>处于两个数值区间的，采用直线</w:t>
      </w:r>
      <w:r>
        <w:rPr>
          <w:rFonts w:hint="eastAsia"/>
          <w:color w:val="000000"/>
          <w:spacing w:val="0"/>
          <w:w w:val="100"/>
          <w:position w:val="0"/>
          <w:sz w:val="28"/>
          <w:szCs w:val="28"/>
          <w:lang w:eastAsia="zh-CN"/>
        </w:rPr>
        <w:t>内插法</w:t>
      </w:r>
      <w:r>
        <w:rPr>
          <w:color w:val="000000"/>
          <w:spacing w:val="0"/>
          <w:w w:val="100"/>
          <w:position w:val="0"/>
          <w:sz w:val="28"/>
          <w:szCs w:val="28"/>
        </w:rPr>
        <w:t>计算。</w:t>
      </w:r>
    </w:p>
    <w:p>
      <w:pPr>
        <w:numPr>
          <w:ilvl w:val="0"/>
          <w:numId w:val="0"/>
        </w:numPr>
        <w:spacing w:line="360" w:lineRule="auto"/>
        <w:ind w:firstLine="602" w:firstLineChars="200"/>
        <w:rPr>
          <w:rFonts w:hint="eastAsia" w:ascii="Times New Roman"/>
          <w:b/>
          <w:bCs/>
          <w:color w:val="000000"/>
          <w:sz w:val="30"/>
          <w:szCs w:val="30"/>
          <w:lang w:eastAsia="zh-CN"/>
        </w:rPr>
      </w:pPr>
      <w:r>
        <w:rPr>
          <w:rFonts w:hint="eastAsia" w:ascii="Times New Roman"/>
          <w:b/>
          <w:bCs/>
          <w:color w:val="000000"/>
          <w:sz w:val="30"/>
          <w:szCs w:val="30"/>
          <w:lang w:eastAsia="zh-CN"/>
        </w:rPr>
        <w:t>七、专项咨询</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（一）</w:t>
      </w:r>
      <w:r>
        <w:rPr>
          <w:rFonts w:hint="eastAsia" w:ascii="Times New Roman"/>
          <w:b/>
          <w:bCs/>
          <w:color w:val="000000"/>
          <w:sz w:val="28"/>
          <w:szCs w:val="28"/>
          <w:lang w:eastAsia="zh-CN"/>
        </w:rPr>
        <w:t>工程造价咨询</w:t>
      </w:r>
    </w:p>
    <w:p>
      <w:pPr>
        <w:numPr>
          <w:ilvl w:val="0"/>
          <w:numId w:val="0"/>
        </w:numPr>
        <w:spacing w:line="360" w:lineRule="auto"/>
        <w:ind w:firstLine="562" w:firstLineChars="200"/>
        <w:rPr>
          <w:rFonts w:hint="eastAsia" w:ascii="Times New Roman" w:cs="Times New Roman"/>
          <w:color w:val="000000"/>
          <w:sz w:val="28"/>
          <w:szCs w:val="28"/>
          <w:lang w:eastAsia="zh-CN"/>
        </w:rPr>
      </w:pPr>
      <w:r>
        <w:rPr>
          <w:rFonts w:hint="eastAsia" w:ascii="Times New Roman" w:cs="Times New Roman"/>
          <w:b/>
          <w:bCs/>
          <w:color w:val="000000"/>
          <w:sz w:val="28"/>
          <w:szCs w:val="28"/>
          <w:lang w:val="en-US" w:eastAsia="zh-CN"/>
        </w:rPr>
        <w:t>1、</w:t>
      </w:r>
      <w:r>
        <w:rPr>
          <w:rFonts w:hint="eastAsia" w:ascii="Times New Roman" w:cs="Times New Roman"/>
          <w:b/>
          <w:bCs/>
          <w:color w:val="000000"/>
          <w:sz w:val="28"/>
          <w:szCs w:val="28"/>
          <w:lang w:eastAsia="zh-CN"/>
        </w:rPr>
        <w:t>主要工作内容：</w:t>
      </w:r>
      <w:r>
        <w:rPr>
          <w:rFonts w:hint="eastAsia" w:ascii="Times New Roman" w:cs="Times New Roman"/>
          <w:color w:val="000000"/>
          <w:sz w:val="28"/>
          <w:szCs w:val="28"/>
          <w:lang w:eastAsia="zh-CN"/>
        </w:rPr>
        <w:t>工程咨询方可根据工程咨询合同约定，为委托方提供覆盖项目投资决策和建设实施全过程或其中若干阶段的造价咨询服务：</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①在项目投资决策阶段，工程咨询方可编制或审核项目投资估算，并可编制或审核项目经济评价报告。</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②在项目设计阶段，工程咨询方可编制或审核项目设计概算、施工图预算，并可针对设计方案优化、限额设计方案进行工程造价比较分析。</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③在项目发承包阶段，工程咨询方可编制或审核工程量清单、标底或最高投标限价，并可进行合同策划，拟定工程合同中有关造价条款；还可审核投标报价文件，并协助委托方签订工程承包合同。</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④在项目施工阶段，工程咨询方可协助委托方编制资金使用计划，进行工程计量及预付款、进度款支付审核，并可确定工程变更、索赔费用，进行工程造价动态分析和审核合同价款调整等工作。</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⑤在项目竣工阶段，工程咨询方可审核工程结算报告，并可编制或审核工程竣工决算报告，配合审计部门完成工程竣工决算审计工作。</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⑥工程咨询方可鉴定工程经济纠纷，提出鉴定意见书，还可核查工程保险理赔事宜。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27" w:lineRule="atLeast"/>
        <w:ind w:left="0" w:right="0" w:firstLine="562" w:firstLineChars="200"/>
        <w:jc w:val="both"/>
        <w:rPr>
          <w:rFonts w:hint="eastAsia" w:ascii="Times New Roman" w:hAnsi="Calibri" w:eastAsia="宋体" w:cs="Times New Roman"/>
          <w:color w:val="000000"/>
          <w:kern w:val="2"/>
          <w:sz w:val="28"/>
          <w:szCs w:val="28"/>
          <w:lang w:val="en-US" w:eastAsia="zh-CN"/>
        </w:rPr>
      </w:pPr>
      <w:r>
        <w:rPr>
          <w:rFonts w:hint="eastAsia" w:ascii="Times New Roman" w:cs="Times New Roman"/>
          <w:b/>
          <w:bCs/>
          <w:color w:val="000000"/>
          <w:kern w:val="2"/>
          <w:sz w:val="28"/>
          <w:szCs w:val="28"/>
          <w:lang w:val="en-US" w:eastAsia="zh-CN"/>
        </w:rPr>
        <w:t>2、</w:t>
      </w:r>
      <w:r>
        <w:rPr>
          <w:rFonts w:hint="eastAsia" w:ascii="Times New Roman" w:hAnsi="Calibri" w:eastAsia="宋体" w:cs="Times New Roman"/>
          <w:b/>
          <w:bCs/>
          <w:color w:val="000000"/>
          <w:kern w:val="2"/>
          <w:sz w:val="28"/>
          <w:szCs w:val="28"/>
          <w:lang w:val="en-US" w:eastAsia="zh-CN"/>
        </w:rPr>
        <w:t>收费标准：</w:t>
      </w:r>
      <w:r>
        <w:rPr>
          <w:rFonts w:hint="eastAsia" w:ascii="Times New Roman" w:cs="Times New Roman"/>
          <w:b w:val="0"/>
          <w:bCs w:val="0"/>
          <w:color w:val="000000"/>
          <w:kern w:val="2"/>
          <w:sz w:val="28"/>
          <w:szCs w:val="28"/>
          <w:lang w:val="en-US" w:eastAsia="zh-CN"/>
        </w:rPr>
        <w:t>参考《</w:t>
      </w:r>
      <w:r>
        <w:rPr>
          <w:rFonts w:hint="default" w:ascii="Times New Roman" w:hAnsi="Calibri" w:eastAsia="宋体" w:cs="Times New Roman"/>
          <w:color w:val="000000"/>
          <w:kern w:val="2"/>
          <w:sz w:val="28"/>
          <w:szCs w:val="28"/>
          <w:lang w:val="en-US" w:eastAsia="zh-CN"/>
        </w:rPr>
        <w:t>桂价协字</w:t>
      </w:r>
      <w:r>
        <w:rPr>
          <w:rFonts w:hint="eastAsia" w:ascii="Times New Roman" w:cs="Times New Roman"/>
          <w:color w:val="000000"/>
          <w:kern w:val="2"/>
          <w:sz w:val="28"/>
          <w:szCs w:val="28"/>
          <w:lang w:val="en-US" w:eastAsia="zh-CN"/>
        </w:rPr>
        <w:t>（</w:t>
      </w:r>
      <w:r>
        <w:rPr>
          <w:rFonts w:hint="default" w:ascii="Times New Roman" w:hAnsi="Calibri" w:eastAsia="宋体" w:cs="Times New Roman"/>
          <w:color w:val="000000"/>
          <w:kern w:val="2"/>
          <w:sz w:val="28"/>
          <w:szCs w:val="28"/>
          <w:lang w:val="en-US" w:eastAsia="zh-CN"/>
        </w:rPr>
        <w:t>2019</w:t>
      </w:r>
      <w:r>
        <w:rPr>
          <w:rFonts w:hint="eastAsia" w:ascii="Times New Roman" w:cs="Times New Roman"/>
          <w:color w:val="000000"/>
          <w:kern w:val="2"/>
          <w:sz w:val="28"/>
          <w:szCs w:val="28"/>
          <w:lang w:val="en-US" w:eastAsia="zh-CN"/>
        </w:rPr>
        <w:t>）</w:t>
      </w:r>
      <w:r>
        <w:rPr>
          <w:rFonts w:hint="default" w:ascii="Times New Roman" w:hAnsi="Calibri" w:eastAsia="宋体" w:cs="Times New Roman"/>
          <w:color w:val="000000"/>
          <w:kern w:val="2"/>
          <w:sz w:val="28"/>
          <w:szCs w:val="28"/>
          <w:lang w:val="en-US" w:eastAsia="zh-CN"/>
        </w:rPr>
        <w:t>15号</w:t>
      </w:r>
      <w:r>
        <w:rPr>
          <w:rFonts w:hint="eastAsia" w:ascii="Times New Roman" w:cs="Times New Roman"/>
          <w:b w:val="0"/>
          <w:bCs w:val="0"/>
          <w:color w:val="000000"/>
          <w:kern w:val="2"/>
          <w:sz w:val="28"/>
          <w:szCs w:val="28"/>
          <w:lang w:val="en-US" w:eastAsia="zh-CN"/>
        </w:rPr>
        <w:t>》</w:t>
      </w:r>
      <w:r>
        <w:rPr>
          <w:rFonts w:hint="eastAsia" w:ascii="Times New Roman" w:hAnsi="Calibri" w:eastAsia="宋体" w:cs="Times New Roman"/>
          <w:color w:val="000000"/>
          <w:kern w:val="2"/>
          <w:sz w:val="28"/>
          <w:szCs w:val="28"/>
          <w:lang w:val="en-US" w:eastAsia="zh-CN"/>
        </w:rPr>
        <w:t>。</w:t>
      </w:r>
    </w:p>
    <w:tbl>
      <w:tblPr>
        <w:tblStyle w:val="5"/>
        <w:tblW w:w="102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7"/>
        <w:gridCol w:w="440"/>
        <w:gridCol w:w="291"/>
        <w:gridCol w:w="629"/>
        <w:gridCol w:w="1051"/>
        <w:gridCol w:w="1650"/>
        <w:gridCol w:w="1050"/>
        <w:gridCol w:w="968"/>
        <w:gridCol w:w="1186"/>
        <w:gridCol w:w="117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kern w:val="0"/>
                <w:sz w:val="28"/>
                <w:szCs w:val="28"/>
                <w:shd w:val="clear" w:color="auto" w:fill="auto"/>
                <w:lang w:val="en-US" w:eastAsia="zh-CN" w:bidi="ar"/>
              </w:rPr>
              <w:t>序号</w:t>
            </w:r>
          </w:p>
        </w:tc>
        <w:tc>
          <w:tcPr>
            <w:tcW w:w="2411" w:type="dxa"/>
            <w:gridSpan w:val="4"/>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咨询项目名称</w:t>
            </w:r>
          </w:p>
        </w:tc>
        <w:tc>
          <w:tcPr>
            <w:tcW w:w="1650" w:type="dxa"/>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费用基数</w:t>
            </w:r>
          </w:p>
        </w:tc>
        <w:tc>
          <w:tcPr>
            <w:tcW w:w="5443" w:type="dxa"/>
            <w:gridSpan w:val="5"/>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按差额定率分档累进方法计算（费率单位：‰）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2411" w:type="dxa"/>
            <w:gridSpan w:val="4"/>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650" w:type="dxa"/>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1000万元以下</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1000-5000万元（含）</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5000万元-2亿元（含）</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i w:val="0"/>
                <w:caps w:val="0"/>
                <w:color w:val="333333"/>
                <w:spacing w:val="0"/>
                <w:sz w:val="28"/>
                <w:szCs w:val="28"/>
                <w:shd w:val="clear" w:color="auto" w:fill="auto"/>
                <w:lang w:eastAsia="zh-CN"/>
              </w:rPr>
            </w:pPr>
            <w:r>
              <w:rPr>
                <w:rFonts w:hint="eastAsia" w:ascii="宋体" w:hAnsi="宋体" w:eastAsia="宋体" w:cs="宋体"/>
                <w:i w:val="0"/>
                <w:caps w:val="0"/>
                <w:color w:val="333333"/>
                <w:spacing w:val="0"/>
                <w:sz w:val="28"/>
                <w:szCs w:val="28"/>
                <w:shd w:val="clear" w:color="auto" w:fill="auto"/>
              </w:rPr>
              <w:t>2亿元-5亿元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（含）</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i w:val="0"/>
                <w:caps w:val="0"/>
                <w:color w:val="333333"/>
                <w:spacing w:val="0"/>
                <w:sz w:val="28"/>
                <w:szCs w:val="28"/>
                <w:shd w:val="clear" w:color="auto" w:fill="auto"/>
                <w:lang w:eastAsia="zh-CN"/>
              </w:rPr>
            </w:pPr>
            <w:r>
              <w:rPr>
                <w:rFonts w:hint="eastAsia" w:ascii="宋体" w:hAnsi="宋体" w:eastAsia="宋体" w:cs="宋体"/>
                <w:i w:val="0"/>
                <w:caps w:val="0"/>
                <w:color w:val="333333"/>
                <w:spacing w:val="0"/>
                <w:sz w:val="28"/>
                <w:szCs w:val="28"/>
                <w:shd w:val="clear" w:color="auto" w:fill="auto"/>
              </w:rPr>
              <w:t>5亿元以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投资估算编制</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建设项目总投资</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0.7</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0.5</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0.3</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0.2</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工程概算编制</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建设项目总投资</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1.7</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1.4</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1.2</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施工图预算编制</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3.5</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2.5</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1.6</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4</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工程量清单及招标控制价编制</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3.9</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2.6</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2.2</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施工过程造价咨询</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5.2</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4</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3.4</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2.8</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w:t>
            </w:r>
          </w:p>
        </w:tc>
        <w:tc>
          <w:tcPr>
            <w:tcW w:w="44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竣工结算审核</w:t>
            </w:r>
          </w:p>
        </w:tc>
        <w:tc>
          <w:tcPr>
            <w:tcW w:w="920"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left"/>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6.1按“基本费+效益费”计费</w:t>
            </w:r>
          </w:p>
        </w:tc>
        <w:tc>
          <w:tcPr>
            <w:tcW w:w="1051"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（1）基本费</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送审工程造价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1.5</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1.2</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44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92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051"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（2）效益费</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left"/>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︱核减额︱+核增额</w:t>
            </w:r>
          </w:p>
        </w:tc>
        <w:tc>
          <w:tcPr>
            <w:tcW w:w="5443" w:type="dxa"/>
            <w:gridSpan w:val="5"/>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44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971"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6.2按送审工程造价计费</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送审工程造价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5.4</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4.2</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3.5</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2.9</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17" w:type="dxa"/>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7</w:t>
            </w:r>
          </w:p>
        </w:tc>
        <w:tc>
          <w:tcPr>
            <w:tcW w:w="731" w:type="dxa"/>
            <w:gridSpan w:val="2"/>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全过程造价咨询</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left"/>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从项目立项阶段起</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15</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12</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10</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8.5</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17" w:type="dxa"/>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731" w:type="dxa"/>
            <w:gridSpan w:val="2"/>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left"/>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从项目实施阶段起</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13</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10</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8.5</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7.5</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8</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工程造价鉴定</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鉴定标的额</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9</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7</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4</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00000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00000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（二）</w:t>
      </w:r>
      <w:r>
        <w:rPr>
          <w:rFonts w:hint="eastAsia" w:ascii="宋体" w:hAnsi="宋体" w:eastAsia="宋体" w:cs="宋体"/>
          <w:b/>
          <w:bCs/>
          <w:color w:val="000000"/>
          <w:sz w:val="28"/>
          <w:szCs w:val="28"/>
          <w:lang w:eastAsia="zh-CN"/>
        </w:rPr>
        <w:t>项目融资咨询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工程咨询方可根据工程咨询合同约定，为委托方提供项目融资咨询服务。项目融资咨询可以是综合考虑各类融资模式的总体咨询，也可以是针对某一特定融资模式的专题咨询。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（三）</w:t>
      </w:r>
      <w:r>
        <w:rPr>
          <w:rFonts w:hint="eastAsia" w:ascii="宋体" w:hAnsi="宋体" w:eastAsia="宋体" w:cs="宋体"/>
          <w:b/>
          <w:bCs/>
          <w:color w:val="000000"/>
          <w:sz w:val="28"/>
          <w:szCs w:val="28"/>
          <w:lang w:eastAsia="zh-CN"/>
        </w:rPr>
        <w:t>信息技术咨询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工程咨询方可根据工程咨询合同约定，针对信息技术系统集成或某一特定信息技术应用，为委托方在项目投资决策、建设实施乃至运营维护阶段提供数字化解决方案。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（四）</w:t>
      </w:r>
      <w:r>
        <w:rPr>
          <w:rFonts w:hint="eastAsia" w:ascii="宋体" w:hAnsi="宋体" w:eastAsia="宋体" w:cs="宋体"/>
          <w:b/>
          <w:bCs/>
          <w:color w:val="000000"/>
          <w:sz w:val="28"/>
          <w:szCs w:val="28"/>
          <w:lang w:eastAsia="zh-CN"/>
        </w:rPr>
        <w:t>风险管理咨询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工程咨询方可根据工程咨询合同约定，针对项目投资决策、建设实施及运营维护阶段或其中若干阶段风险管理为委托方提供咨询服务。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（五）</w:t>
      </w:r>
      <w:r>
        <w:rPr>
          <w:rFonts w:hint="eastAsia" w:ascii="宋体" w:hAnsi="宋体" w:eastAsia="宋体" w:cs="宋体"/>
          <w:b/>
          <w:bCs/>
          <w:color w:val="000000"/>
          <w:sz w:val="28"/>
          <w:szCs w:val="28"/>
          <w:lang w:eastAsia="zh-CN"/>
        </w:rPr>
        <w:t>项目后评价咨询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工程咨询方可根据工程咨询合同约定，为委托方提供包含项目过程评价、效益评价及可持续性评价的综合评价或针对项目建设或运行中某一问题的专题评价咨询服务。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（六）</w:t>
      </w:r>
      <w:r>
        <w:rPr>
          <w:rFonts w:hint="eastAsia" w:ascii="宋体" w:hAnsi="宋体" w:eastAsia="宋体" w:cs="宋体"/>
          <w:b/>
          <w:bCs/>
          <w:color w:val="000000"/>
          <w:sz w:val="28"/>
          <w:szCs w:val="28"/>
          <w:lang w:val="en-US" w:eastAsia="zh-CN"/>
        </w:rPr>
        <w:t>工程保险</w:t>
      </w:r>
      <w:r>
        <w:rPr>
          <w:rFonts w:hint="eastAsia" w:ascii="宋体" w:hAnsi="宋体" w:eastAsia="宋体" w:cs="宋体"/>
          <w:b/>
          <w:bCs/>
          <w:color w:val="000000"/>
          <w:sz w:val="28"/>
          <w:szCs w:val="28"/>
          <w:lang w:eastAsia="zh-CN"/>
        </w:rPr>
        <w:t>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工程咨询方可根据工程咨询合同约定，为委托方提供多项工程保险或某一特定工程保险的咨询服务。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color w:val="000000"/>
          <w:sz w:val="30"/>
          <w:szCs w:val="30"/>
          <w:lang w:eastAsia="zh-CN"/>
        </w:rPr>
      </w:pPr>
      <w:r>
        <w:rPr>
          <w:rFonts w:hint="eastAsia" w:ascii="宋体" w:hAnsi="宋体" w:cs="宋体"/>
          <w:b/>
          <w:bCs/>
          <w:color w:val="000000"/>
          <w:sz w:val="30"/>
          <w:szCs w:val="30"/>
          <w:lang w:eastAsia="zh-CN"/>
        </w:rPr>
        <w:t>八</w:t>
      </w:r>
      <w:r>
        <w:rPr>
          <w:rFonts w:hint="eastAsia" w:ascii="宋体" w:hAnsi="宋体" w:eastAsia="宋体" w:cs="宋体"/>
          <w:b/>
          <w:bCs/>
          <w:color w:val="000000"/>
          <w:sz w:val="30"/>
          <w:szCs w:val="30"/>
          <w:lang w:eastAsia="zh-CN"/>
        </w:rPr>
        <w:t>、《工程建设全过程咨询》收费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cs="Times New Roman"/>
          <w:color w:val="000000"/>
          <w:sz w:val="28"/>
          <w:szCs w:val="28"/>
          <w:lang w:val="en-US" w:eastAsia="zh-CN"/>
        </w:rPr>
      </w:pPr>
      <w:r>
        <w:rPr>
          <w:rFonts w:hint="eastAsia" w:ascii="宋体" w:hAnsi="宋体" w:eastAsia="宋体" w:cs="宋体"/>
          <w:color w:val="000000"/>
          <w:sz w:val="28"/>
          <w:szCs w:val="28"/>
          <w:lang w:eastAsia="zh-CN"/>
        </w:rPr>
        <w:t>房屋建筑和市政基础设施项目实施全过程咨询服务，根据《工程建设全过程咨询》清单内容和单项收费，可以结合建设项目</w:t>
      </w:r>
      <w:r>
        <w:rPr>
          <w:rFonts w:hint="eastAsia" w:ascii="宋体" w:hAnsi="宋体" w:cs="宋体"/>
          <w:color w:val="000000"/>
          <w:sz w:val="28"/>
          <w:szCs w:val="28"/>
          <w:lang w:eastAsia="zh-CN"/>
        </w:rPr>
        <w:t>全过程咨询</w:t>
      </w:r>
      <w:r>
        <w:rPr>
          <w:rFonts w:hint="eastAsia" w:ascii="宋体" w:hAnsi="宋体" w:eastAsia="宋体" w:cs="宋体"/>
          <w:color w:val="000000"/>
          <w:sz w:val="28"/>
          <w:szCs w:val="28"/>
          <w:lang w:eastAsia="zh-CN"/>
        </w:rPr>
        <w:t>实际需要</w:t>
      </w:r>
      <w:r>
        <w:rPr>
          <w:rFonts w:hint="eastAsia" w:ascii="宋体" w:hAnsi="宋体" w:cs="宋体"/>
          <w:color w:val="000000"/>
          <w:sz w:val="28"/>
          <w:szCs w:val="28"/>
          <w:lang w:eastAsia="zh-CN"/>
        </w:rPr>
        <w:t>选项</w:t>
      </w:r>
      <w:r>
        <w:rPr>
          <w:rFonts w:hint="eastAsia" w:ascii="宋体" w:hAnsi="宋体" w:eastAsia="宋体" w:cs="宋体"/>
          <w:color w:val="000000"/>
          <w:sz w:val="28"/>
          <w:szCs w:val="28"/>
          <w:lang w:eastAsia="zh-CN"/>
        </w:rPr>
        <w:t>合理搭配，以</w:t>
      </w:r>
      <w:r>
        <w:rPr>
          <w:rFonts w:hint="eastAsia" w:ascii="宋体" w:hAnsi="宋体" w:cs="宋体"/>
          <w:color w:val="000000"/>
          <w:sz w:val="28"/>
          <w:szCs w:val="28"/>
          <w:lang w:eastAsia="zh-CN"/>
        </w:rPr>
        <w:t>选项</w:t>
      </w:r>
      <w:r>
        <w:rPr>
          <w:rFonts w:hint="eastAsia" w:ascii="宋体" w:hAnsi="宋体" w:eastAsia="宋体" w:cs="宋体"/>
          <w:color w:val="000000"/>
          <w:sz w:val="28"/>
          <w:szCs w:val="28"/>
          <w:lang w:eastAsia="zh-CN"/>
        </w:rPr>
        <w:t>内容和单项收费叠加计取总体</w:t>
      </w:r>
      <w:r>
        <w:rPr>
          <w:rFonts w:hint="eastAsia" w:ascii="宋体" w:hAnsi="宋体" w:cs="宋体"/>
          <w:color w:val="000000"/>
          <w:sz w:val="28"/>
          <w:szCs w:val="28"/>
          <w:lang w:eastAsia="zh-CN"/>
        </w:rPr>
        <w:t>咨询</w:t>
      </w:r>
      <w:r>
        <w:rPr>
          <w:rFonts w:hint="eastAsia" w:ascii="宋体" w:hAnsi="宋体" w:eastAsia="宋体" w:cs="宋体"/>
          <w:color w:val="000000"/>
          <w:sz w:val="28"/>
          <w:szCs w:val="28"/>
          <w:lang w:eastAsia="zh-CN"/>
        </w:rPr>
        <w:t>服务收费。</w:t>
      </w:r>
    </w:p>
    <w:p>
      <w:pPr>
        <w:numPr>
          <w:ilvl w:val="0"/>
          <w:numId w:val="0"/>
        </w:numPr>
        <w:spacing w:line="360" w:lineRule="auto"/>
        <w:rPr>
          <w:rFonts w:hint="eastAsia" w:ascii="Times New Roman"/>
          <w:color w:val="00000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TgxZDM1NmRiZjZjNWM3MzQwZWM5NTk2NDQ1YmYifQ=="/>
  </w:docVars>
  <w:rsids>
    <w:rsidRoot w:val="544E4259"/>
    <w:rsid w:val="018F56F9"/>
    <w:rsid w:val="04ED4041"/>
    <w:rsid w:val="050E7ACA"/>
    <w:rsid w:val="07FA657D"/>
    <w:rsid w:val="0C482A41"/>
    <w:rsid w:val="0E113F1C"/>
    <w:rsid w:val="0F2E24BA"/>
    <w:rsid w:val="0FB63DAB"/>
    <w:rsid w:val="15524A55"/>
    <w:rsid w:val="199A7866"/>
    <w:rsid w:val="1B7E703A"/>
    <w:rsid w:val="202F03D8"/>
    <w:rsid w:val="20465285"/>
    <w:rsid w:val="20516B6D"/>
    <w:rsid w:val="22CD0AE8"/>
    <w:rsid w:val="26650889"/>
    <w:rsid w:val="270525E8"/>
    <w:rsid w:val="27194949"/>
    <w:rsid w:val="29A34CF8"/>
    <w:rsid w:val="2ED268B8"/>
    <w:rsid w:val="3143297F"/>
    <w:rsid w:val="33CA4CDC"/>
    <w:rsid w:val="34A954BA"/>
    <w:rsid w:val="34BC33C8"/>
    <w:rsid w:val="362A3DE0"/>
    <w:rsid w:val="397A6337"/>
    <w:rsid w:val="3AD2093D"/>
    <w:rsid w:val="3C585F4C"/>
    <w:rsid w:val="3F702853"/>
    <w:rsid w:val="414205EA"/>
    <w:rsid w:val="41812EC4"/>
    <w:rsid w:val="41AA0C80"/>
    <w:rsid w:val="45145496"/>
    <w:rsid w:val="45E7797C"/>
    <w:rsid w:val="468841C2"/>
    <w:rsid w:val="47D97FDF"/>
    <w:rsid w:val="49B64F3A"/>
    <w:rsid w:val="4B4A3F4D"/>
    <w:rsid w:val="4F0C363A"/>
    <w:rsid w:val="52124CE9"/>
    <w:rsid w:val="53991642"/>
    <w:rsid w:val="544E4259"/>
    <w:rsid w:val="550D218C"/>
    <w:rsid w:val="5C1A5324"/>
    <w:rsid w:val="5DBF5EBF"/>
    <w:rsid w:val="5E733442"/>
    <w:rsid w:val="5FC90865"/>
    <w:rsid w:val="65583990"/>
    <w:rsid w:val="67007728"/>
    <w:rsid w:val="67D352C8"/>
    <w:rsid w:val="697F069A"/>
    <w:rsid w:val="6DEE4D62"/>
    <w:rsid w:val="6F5E1AE9"/>
    <w:rsid w:val="73FE1B4D"/>
    <w:rsid w:val="765B3961"/>
    <w:rsid w:val="781C0380"/>
    <w:rsid w:val="7C64070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Other|1"/>
    <w:basedOn w:val="1"/>
    <w:qFormat/>
    <w:uiPriority w:val="0"/>
    <w:pPr>
      <w:widowControl w:val="0"/>
      <w:shd w:val="clear" w:color="auto" w:fill="auto"/>
    </w:pPr>
    <w:rPr>
      <w:u w:val="none"/>
      <w:shd w:val="clear" w:color="auto" w:fill="auto"/>
      <w:lang w:val="zh-TW" w:eastAsia="zh-TW" w:bidi="zh-TW"/>
    </w:rPr>
  </w:style>
  <w:style w:type="paragraph" w:customStyle="1" w:styleId="10">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after="280"/>
    </w:pPr>
    <w:rPr>
      <w:rFonts w:ascii="宋体" w:hAnsi="宋体" w:eastAsia="宋体" w:cs="宋体"/>
      <w:u w:val="none"/>
      <w:shd w:val="clear" w:color="auto" w:fill="auto"/>
      <w:lang w:val="zh-TW" w:eastAsia="zh-TW" w:bidi="zh-TW"/>
    </w:rPr>
  </w:style>
  <w:style w:type="paragraph" w:customStyle="1" w:styleId="12">
    <w:name w:val="Plain Text"/>
    <w:basedOn w:val="1"/>
    <w:qFormat/>
    <w:uiPriority w:val="0"/>
    <w:rPr>
      <w:rFonts w:ascii="宋体" w:hAnsi="Courier New" w:eastAsia="宋体" w:cs="Times New Roman"/>
      <w:sz w:val="24"/>
      <w:szCs w:val="24"/>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14565</Words>
  <Characters>16810</Characters>
  <Lines>0</Lines>
  <Paragraphs>0</Paragraphs>
  <TotalTime>2</TotalTime>
  <ScaleCrop>false</ScaleCrop>
  <LinksUpToDate>false</LinksUpToDate>
  <CharactersWithSpaces>16912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2022-06-10T02:37:00Z</dcterms:created>
  <dc:creator>Administrator</dc:creator>
  <cp:lastModifiedBy>牛牛</cp:lastModifiedBy>
  <cp:lastPrinted>2022-08-11T02:04:00Z</cp:lastPrinted>
  <dcterms:modified xsi:type="dcterms:W3CDTF">2022-10-18T05:19:03Z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C801ABDFFBFF4EFF97AD85D7656F322F</vt:lpwstr>
  </property>
</Properties>
</file>